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3863"/>
        <w:gridCol w:w="1758"/>
        <w:gridCol w:w="7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38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37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衡东县2019年重点民生实事项目公示表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760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填报单位：</w:t>
            </w:r>
            <w:r>
              <w:rPr>
                <w:rFonts w:hint="eastAsia" w:eastAsia="方正仿宋简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方正仿宋简体" w:cs="宋体"/>
                <w:kern w:val="0"/>
                <w:sz w:val="22"/>
                <w:szCs w:val="22"/>
                <w:lang w:eastAsia="zh-CN"/>
              </w:rPr>
              <w:t>国网衡东县供电公司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填报人：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  镇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实事项目名称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完成数量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甘溪镇</w:t>
            </w:r>
          </w:p>
        </w:tc>
        <w:tc>
          <w:tcPr>
            <w:tcW w:w="38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  <w:t>甘溪镇新杨村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  <w:t>125万元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已100%全部竣工完成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杨林镇</w:t>
            </w:r>
          </w:p>
        </w:tc>
        <w:tc>
          <w:tcPr>
            <w:tcW w:w="38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  <w:t>杨林镇才埠村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  <w:t>110万元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已100%全部竣工完成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石湾镇</w:t>
            </w:r>
          </w:p>
        </w:tc>
        <w:tc>
          <w:tcPr>
            <w:tcW w:w="38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  <w:t>石湾镇佳埗村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  <w:t>115万元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已100%全部竣工完成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白莲镇</w:t>
            </w:r>
          </w:p>
        </w:tc>
        <w:tc>
          <w:tcPr>
            <w:tcW w:w="38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  <w:t>白莲镇塘荷村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  <w:t>132万元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已100%全部竣工完成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三樟镇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  <w:t>三樟镇油麻田村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宋体"/>
                <w:kern w:val="0"/>
                <w:sz w:val="24"/>
                <w:szCs w:val="24"/>
                <w:lang w:eastAsia="zh-CN"/>
              </w:rPr>
              <w:t>185万元</w:t>
            </w:r>
          </w:p>
        </w:tc>
        <w:tc>
          <w:tcPr>
            <w:tcW w:w="7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已100%全部竣工完成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40F0A"/>
    <w:rsid w:val="7E84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2019-12-09T07:03:00Z</dcterms:created>
  <dc:creator>颜济川</dc:creator>
  <cp:lastModifiedBy>颜济川</cp:lastModifiedBy>
  <dcterms:modified xsi:type="dcterms:W3CDTF">2019-12-09T07:03:52Z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