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sz w:val="44"/>
          <w:szCs w:val="44"/>
          <w:lang w:val="en-US" w:eastAsia="zh-CN"/>
        </w:rPr>
      </w:pPr>
    </w:p>
    <w:p>
      <w:pPr>
        <w:ind w:firstLine="440" w:firstLineChars="1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2017年衡东县投融资办公室决算公开</w:t>
      </w:r>
    </w:p>
    <w:p>
      <w:pPr>
        <w:ind w:firstLine="440" w:firstLineChars="100"/>
        <w:rPr>
          <w:rFonts w:hint="eastAsia"/>
          <w:sz w:val="44"/>
          <w:szCs w:val="44"/>
          <w:lang w:val="en-US" w:eastAsia="zh-CN"/>
        </w:rPr>
      </w:pP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衡东县投融资办公室从2017年开始，成为独立核算的财政集中直付单位。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2017年财政拨款收入6.42万，上年结余7.64万，财政拨款支出12.72万，年末结余1.34万。其中人员经费支出4.73万，公用经费支出7.99万（办公费5.35万，印刷费2.64万）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总的情况是好的，办公经费偏多，主要是单位刚刚成立，用于单位购买办公家具和办公电脑、空调等。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附2017年部门决算公开表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0"/>
    <w:rsid w:val="009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2018-09-03T06:40:00Z</dcterms:created>
  <dc:creator>如果有刀</dc:creator>
  <cp:lastModifiedBy>如果有刀</cp:lastModifiedBy>
  <dcterms:modified xsi:type="dcterms:W3CDTF">2018-09-03T06:51:44Z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