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2019年度</w:t>
      </w:r>
    </w:p>
    <w:p>
      <w:pPr>
        <w:pStyle w:val="10"/>
        <w:jc w:val="center"/>
        <w:rPr>
          <w:sz w:val="84"/>
          <w:szCs w:val="84"/>
        </w:rPr>
      </w:pPr>
      <w:r>
        <w:rPr>
          <w:rFonts w:hint="eastAsia"/>
          <w:sz w:val="84"/>
          <w:szCs w:val="84"/>
        </w:rPr>
        <w:t>衡东县委政法委部门决算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both"/>
        <w:rPr>
          <w:sz w:val="56"/>
          <w:szCs w:val="56"/>
        </w:rPr>
      </w:pPr>
    </w:p>
    <w:p>
      <w:pPr>
        <w:pStyle w:val="10"/>
        <w:spacing w:line="540" w:lineRule="exact"/>
        <w:jc w:val="center"/>
        <w:rPr>
          <w:sz w:val="56"/>
          <w:szCs w:val="56"/>
        </w:rPr>
      </w:pPr>
    </w:p>
    <w:p>
      <w:pPr>
        <w:pStyle w:val="10"/>
        <w:spacing w:line="520" w:lineRule="exact"/>
        <w:jc w:val="center"/>
        <w:rPr>
          <w:sz w:val="56"/>
          <w:szCs w:val="56"/>
        </w:rPr>
      </w:pPr>
      <w:r>
        <w:rPr>
          <w:rFonts w:hint="eastAsia"/>
          <w:sz w:val="56"/>
          <w:szCs w:val="56"/>
        </w:rPr>
        <w:t>目录</w:t>
      </w:r>
    </w:p>
    <w:p>
      <w:pPr>
        <w:pStyle w:val="10"/>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2019年</w:t>
      </w:r>
      <w:r>
        <w:rPr>
          <w:rFonts w:hint="eastAsia"/>
          <w:b/>
          <w:sz w:val="28"/>
          <w:szCs w:val="28"/>
        </w:rPr>
        <w:t>单位概况</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2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2019</w:t>
      </w:r>
      <w:r>
        <w:rPr>
          <w:rFonts w:hint="eastAsia" w:hAnsi="仿宋_GB2312"/>
          <w:b/>
          <w:sz w:val="28"/>
          <w:szCs w:val="28"/>
        </w:rPr>
        <w:t>年度部门决算情况说明</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w:t>
      </w:r>
      <w:r>
        <w:rPr>
          <w:rFonts w:hint="eastAsia" w:ascii="黑体" w:hAnsi="黑体" w:eastAsia="黑体" w:cs="黑体"/>
          <w:b/>
          <w:color w:val="000000"/>
          <w:kern w:val="0"/>
          <w:sz w:val="28"/>
          <w:szCs w:val="28"/>
        </w:rPr>
        <w:t>三</w:t>
      </w:r>
      <w:r>
        <w:rPr>
          <w:rFonts w:ascii="黑体" w:hAnsi="黑体" w:eastAsia="黑体" w:cs="黑体"/>
          <w:b/>
          <w:color w:val="000000"/>
          <w:kern w:val="0"/>
          <w:sz w:val="28"/>
          <w:szCs w:val="28"/>
        </w:rPr>
        <w:t>部分名词解释</w:t>
      </w:r>
    </w:p>
    <w:p>
      <w:pPr>
        <w:spacing w:line="52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w:t>
      </w:r>
      <w:r>
        <w:rPr>
          <w:rFonts w:hint="eastAsia" w:ascii="黑体" w:hAnsi="黑体" w:eastAsia="黑体" w:cs="黑体"/>
          <w:b/>
          <w:color w:val="000000"/>
          <w:kern w:val="0"/>
          <w:sz w:val="28"/>
          <w:szCs w:val="28"/>
        </w:rPr>
        <w:t>四</w:t>
      </w:r>
      <w:r>
        <w:rPr>
          <w:rFonts w:ascii="黑体" w:hAnsi="黑体" w:eastAsia="黑体" w:cs="黑体"/>
          <w:b/>
          <w:color w:val="000000"/>
          <w:kern w:val="0"/>
          <w:sz w:val="28"/>
          <w:szCs w:val="28"/>
        </w:rPr>
        <w:t>部分附件</w:t>
      </w:r>
    </w:p>
    <w:p>
      <w:pPr>
        <w:spacing w:line="520" w:lineRule="exact"/>
        <w:jc w:val="left"/>
        <w:rPr>
          <w:rFonts w:ascii="黑体" w:hAnsi="黑体" w:eastAsia="黑体" w:cs="黑体"/>
          <w:b/>
          <w:color w:val="000000"/>
          <w:kern w:val="0"/>
          <w:sz w:val="28"/>
          <w:szCs w:val="28"/>
        </w:rPr>
      </w:pPr>
      <w:r>
        <w:rPr>
          <w:rFonts w:hAnsi="仿宋_GB2312"/>
          <w:b/>
          <w:sz w:val="28"/>
          <w:szCs w:val="28"/>
        </w:rPr>
        <w:t>2019</w:t>
      </w:r>
      <w:r>
        <w:rPr>
          <w:rFonts w:hint="eastAsia" w:hAnsi="仿宋_GB2312"/>
          <w:b/>
          <w:sz w:val="28"/>
          <w:szCs w:val="28"/>
        </w:rPr>
        <w:t>年度部门决算表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spacing w:line="520" w:lineRule="exact"/>
        <w:jc w:val="left"/>
        <w:rPr>
          <w:rFonts w:ascii="黑体" w:hAnsi="黑体" w:eastAsia="黑体" w:cs="黑体"/>
          <w:b/>
          <w:color w:val="000000"/>
          <w:kern w:val="0"/>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衡东县委政法委单位概况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1"/>
        <w:widowControl/>
        <w:numPr>
          <w:ilvl w:val="0"/>
          <w:numId w:val="1"/>
        </w:numPr>
        <w:wordWrap w:val="0"/>
        <w:ind w:firstLineChars="0"/>
        <w:jc w:val="left"/>
      </w:pPr>
      <w:r>
        <w:rPr>
          <w:rFonts w:hint="eastAsia" w:ascii="宋体" w:hAnsi="宋体" w:eastAsia="宋体" w:cs="宋体"/>
          <w:b/>
          <w:kern w:val="0"/>
          <w:sz w:val="28"/>
          <w:szCs w:val="28"/>
        </w:rPr>
        <w:t>工作职责：</w:t>
      </w:r>
      <w:r>
        <w:rPr>
          <w:rFonts w:hint="eastAsia" w:ascii="宋体" w:hAnsi="宋体" w:eastAsia="宋体" w:cs="宋体"/>
          <w:kern w:val="0"/>
          <w:sz w:val="28"/>
          <w:szCs w:val="28"/>
        </w:rPr>
        <w:t>（一）、根据党的路线、方针、政策和县委的部署，统一政法部门的思想和行动，对一定时期内的政法工作作出全面性部署，并督促贯彻落实。（二）、组织、协调、指导维护社会稳定的工作，必要时直接参与影响稳定的重大群体事件的处置。（三）、检查政法部门执行法律法规和党的方针政策的情况，结合实际研究制定严肃执法、落实党的方针政策和具体措施。（四）、支持和监督政法各部门依法行使职权，指导和协调政法各部门在依法相互制约的同时密切配合，督促推进大案要案的查处工作，研究有争议的重大、疑难案件。（五）、组织、协调社会治安综合治理工作和维护稳定工作，推动社会治安综合治理和维护稳定各项措施的落实。（六）、组织、推动政法战线的调查研究工作，探索改革加强政法工作的措施、办法。（七）、协助党委及组织部门管理好政法部门的领导班子和政法干部队伍。（八）、组织查处政法系统干部、干警中有重大影响的违法违纪案件。（九）、办理县委、县政府才上级政法委员会交办的其他事项。</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11"/>
        <w:widowControl/>
        <w:wordWrap w:val="0"/>
        <w:ind w:left="720" w:firstLine="0" w:firstLineChars="0"/>
        <w:jc w:val="left"/>
        <w:rPr>
          <w:rFonts w:ascii="Calibri" w:hAnsi="Calibri" w:eastAsia="宋体" w:cs="Times New Roman"/>
          <w:color w:val="000000" w:themeColor="text1"/>
        </w:rPr>
      </w:pPr>
      <w:r>
        <w:rPr>
          <w:rFonts w:hint="eastAsia" w:asciiTheme="minorEastAsia" w:hAnsiTheme="minorEastAsia"/>
          <w:bCs/>
          <w:color w:val="000000" w:themeColor="text1"/>
          <w:kern w:val="0"/>
          <w:sz w:val="32"/>
          <w:szCs w:val="32"/>
        </w:rPr>
        <w:t>（一）</w:t>
      </w:r>
      <w:r>
        <w:rPr>
          <w:rFonts w:hint="eastAsia" w:ascii="宋体" w:hAnsi="宋体" w:eastAsia="宋体" w:cs="宋体"/>
          <w:b/>
          <w:color w:val="000000" w:themeColor="text1"/>
          <w:kern w:val="0"/>
          <w:sz w:val="28"/>
          <w:szCs w:val="28"/>
        </w:rPr>
        <w:t>内设机构：</w:t>
      </w:r>
      <w:r>
        <w:rPr>
          <w:rFonts w:hint="eastAsia" w:ascii="宋体" w:hAnsi="宋体" w:eastAsia="宋体" w:cs="宋体"/>
          <w:color w:val="000000" w:themeColor="text1"/>
          <w:kern w:val="0"/>
          <w:sz w:val="28"/>
          <w:szCs w:val="28"/>
        </w:rPr>
        <w:t>根据上述职责任务，内设9个职能室，分别是办公室、政工师、国安办、综治督导室、维稳指导室、反邪教协调室、执法监督室、宣传教育室、专项行动室。</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0"/>
        <w:rPr>
          <w:sz w:val="72"/>
          <w:szCs w:val="7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第二部分</w:t>
      </w:r>
    </w:p>
    <w:p>
      <w:pPr>
        <w:pStyle w:val="10"/>
        <w:jc w:val="center"/>
        <w:rPr>
          <w:sz w:val="70"/>
          <w:szCs w:val="70"/>
        </w:rPr>
      </w:pPr>
    </w:p>
    <w:p>
      <w:pPr>
        <w:pStyle w:val="10"/>
        <w:jc w:val="center"/>
        <w:rPr>
          <w:sz w:val="70"/>
          <w:szCs w:val="70"/>
        </w:rPr>
      </w:pPr>
      <w:r>
        <w:rPr>
          <w:sz w:val="70"/>
          <w:szCs w:val="70"/>
        </w:rPr>
        <w:t>2019</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2019 年度收、支总计2782.93万元。与2018年相比，减少1659.67万元，主要是因为2018年我委代支付9.12事件伤亡人员费用数额较大</w:t>
      </w:r>
      <w:r>
        <w:rPr>
          <w:rFonts w:hint="eastAsia" w:asciiTheme="minorEastAsia" w:hAnsiTheme="minorEastAsia" w:eastAsiaTheme="minorEastAsia"/>
          <w:sz w:val="32"/>
          <w:szCs w:val="32"/>
          <w:lang w:eastAsia="zh-CN"/>
        </w:rPr>
        <w:t>，</w:t>
      </w:r>
      <w:r>
        <w:rPr>
          <w:rFonts w:hint="eastAsia" w:ascii="宋体" w:hAnsi="宋体" w:eastAsia="宋体" w:cs="宋体"/>
          <w:i w:val="0"/>
          <w:iCs w:val="0"/>
          <w:caps w:val="0"/>
          <w:color w:val="000000"/>
          <w:spacing w:val="30"/>
          <w:sz w:val="30"/>
          <w:szCs w:val="30"/>
          <w:shd w:val="clear" w:fill="FFFFFF"/>
        </w:rPr>
        <w:t>本单位部门预算为本级预算和所属单位预算在内的汇总预算。</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本年收入合计1405万元，其中：财政拨款收入1370.54万元，占97.5%；其他收入34.46万元，占2.5%。</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本年支出合计1377.93万元，其中：基本支出834.25万元，占60.54%；项目支出543.68万元，占39.46%。</w:t>
      </w:r>
    </w:p>
    <w:p>
      <w:pPr>
        <w:pStyle w:val="10"/>
        <w:rPr>
          <w:rFonts w:hAnsi="黑体"/>
          <w:b/>
          <w:sz w:val="32"/>
          <w:szCs w:val="32"/>
        </w:rPr>
      </w:pPr>
      <w:r>
        <w:rPr>
          <w:rFonts w:hint="eastAsia" w:hAnsi="黑体"/>
          <w:b/>
          <w:sz w:val="32"/>
          <w:szCs w:val="32"/>
        </w:rPr>
        <w:t>四、财政拨款收入支出决算总体情况说明</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2019年度财政拨款收、支总计2714万元，与2018年相比减少1728.6万元,减少38.9%，主要是因为2018年我委代支付9.12事件伤亡人员费用数额较大。</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2019年度财政拨款支出1343.46万元，占本年支出合计的97.49%，与2018年相比，财政拨款支出减少932.24万元，减少40.96%，主要是因为2018年我委代支付9.12事件伤亡人员费用数额较大。</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2019年度财政拨款支出1343.46万元，主要用于以下方面：一般公共服务（类）支出1275.5万元，占94.9%；公共安全支出60.09万元，占4.47%，社会保障和就业支出39.33万元，占2.92%，应急管理支出3万元，占0.2%。</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2019年度财政拨款支出年初预算数为1343.46万元，支出决算数为1343.46万元，完成年初预算的100%，其中：</w:t>
      </w:r>
    </w:p>
    <w:p>
      <w:pPr>
        <w:pStyle w:val="10"/>
        <w:numPr>
          <w:ilvl w:val="0"/>
          <w:numId w:val="2"/>
        </w:numPr>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一般公共服务（类）政府办公厅（室）（款）行政运行（项）。</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年初预算为760.45万元，支出决算为760.45万元，</w:t>
      </w:r>
      <w:r>
        <w:rPr>
          <w:rFonts w:hint="eastAsia" w:asciiTheme="minorEastAsia" w:hAnsiTheme="minorEastAsia" w:eastAsiaTheme="minorEastAsia"/>
          <w:sz w:val="32"/>
          <w:szCs w:val="32"/>
        </w:rPr>
        <w:t>完成年初预算的100%</w:t>
      </w:r>
      <w:r>
        <w:rPr>
          <w:rFonts w:hint="eastAsia" w:asciiTheme="minorEastAsia" w:hAnsiTheme="minorEastAsia" w:eastAsiaTheme="minorEastAsia"/>
          <w:color w:val="auto"/>
          <w:sz w:val="32"/>
          <w:szCs w:val="32"/>
        </w:rPr>
        <w:t>。</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2、一般公共服务（类）政府办公厅（室）（款）一般行政管理事务（项）。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年初预算为480.59万元，支出决算为480.59万元，完成年初预算的100%。</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3、社会保障和就业支出（类）行政事业单位离退休（款）机关事业单位基本养老保险缴费（项）。</w:t>
      </w:r>
    </w:p>
    <w:p>
      <w:pPr>
        <w:pStyle w:val="10"/>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年初预算为39.33万元，支出决算为39.33万元。</w:t>
      </w:r>
    </w:p>
    <w:p>
      <w:pPr>
        <w:pStyle w:val="10"/>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4、公共安全支出年初预算为60.09万元，支出决算数60.09万元。</w:t>
      </w:r>
    </w:p>
    <w:p>
      <w:pPr>
        <w:pStyle w:val="10"/>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5、灾害防治及应急管理支出，支出决算数为3万元。</w:t>
      </w:r>
    </w:p>
    <w:p>
      <w:pPr>
        <w:pStyle w:val="10"/>
        <w:ind w:firstLine="800" w:firstLineChars="250"/>
        <w:rPr>
          <w:rFonts w:asciiTheme="minorEastAsia" w:hAnsiTheme="minorEastAsia" w:eastAsiaTheme="minorEastAsia"/>
          <w:color w:val="FF0000"/>
          <w:sz w:val="32"/>
          <w:szCs w:val="32"/>
        </w:rPr>
      </w:pP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2019年度财政拨款基本支出799.78万元，其中：人员经费668.33万元，占基本支出的83.56%,主要包括基本工资、津贴补贴、奖金、伙食补助费、养老保险、医疗保险、住房公积金等；公用经费131.45万元，占基本支出的16.44%，主要包括办公费、印刷费、差旅费、水电费、公务接待费、工会经费、职工福利费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“三公”经费财政拨款支出预算为4.17万元，支出决算为4.17万元，其中：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公务接待费支出预算为7.8万元，支出决算为1.72万元，决算数小于年初预算数的主要原因是节约了支出。</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公务用车购置费及运行维护费支出预算为9.2万元，支出决算为2.46万元，决算数小于年初预算数的主要原因是绝大部分公务活动采用公共交通工具。</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2019年度“三公”经费财政拨款支出决算中，公务接待费支出决算1.72万元，占41.24%,因公出国（境）费支出决算0万元，占0%,公务用车购置费及运行维护费支出决算2.46万元，占58.99%。其中：</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2、公务接待费支出决算为1.72万元，全年共接待来访团组43个、来宾286人次，主要是学习交流、执行任务等发生的接待支出。</w:t>
      </w:r>
    </w:p>
    <w:p>
      <w:pPr>
        <w:pStyle w:val="5"/>
        <w:keepNext w:val="0"/>
        <w:keepLines w:val="0"/>
        <w:widowControl/>
        <w:suppressLineNumbers w:val="0"/>
        <w:spacing w:before="75" w:beforeAutospacing="0" w:after="75" w:afterAutospacing="0" w:line="495" w:lineRule="atLeast"/>
        <w:ind w:left="0" w:right="0" w:firstLine="480"/>
        <w:rPr>
          <w:rFonts w:hint="eastAsia" w:asciiTheme="minorEastAsia" w:hAnsiTheme="minorEastAsia"/>
          <w:sz w:val="32"/>
          <w:szCs w:val="32"/>
          <w:lang w:val="en-US" w:eastAsia="zh-CN"/>
        </w:rPr>
      </w:pPr>
      <w:r>
        <w:rPr>
          <w:rFonts w:hint="eastAsia" w:asciiTheme="minorEastAsia" w:hAnsiTheme="minorEastAsia"/>
          <w:sz w:val="32"/>
          <w:szCs w:val="32"/>
        </w:rPr>
        <w:t>3、公务用车购置费及运行维护费支出决算为2.46万元，其中：公务用车购置费0万元，公务用车运行维护费2.46万元。本年“三公”经费预算与上年相比，减少</w:t>
      </w:r>
      <w:r>
        <w:rPr>
          <w:rFonts w:hint="eastAsia" w:asciiTheme="minorEastAsia" w:hAnsiTheme="minorEastAsia"/>
          <w:sz w:val="32"/>
          <w:szCs w:val="32"/>
          <w:lang w:val="en-US" w:eastAsia="zh-CN"/>
        </w:rPr>
        <w:t>2.57</w:t>
      </w:r>
      <w:r>
        <w:rPr>
          <w:rFonts w:hint="eastAsia" w:asciiTheme="minorEastAsia" w:hAnsiTheme="minorEastAsia"/>
          <w:sz w:val="32"/>
          <w:szCs w:val="32"/>
        </w:rPr>
        <w:t>万元，减少主要原因为公务接待活动减少</w:t>
      </w:r>
      <w:r>
        <w:rPr>
          <w:rFonts w:hint="eastAsia" w:asciiTheme="minorEastAsia" w:hAnsiTheme="minorEastAsia"/>
          <w:sz w:val="32"/>
          <w:szCs w:val="32"/>
          <w:lang w:eastAsia="zh-CN"/>
        </w:rPr>
        <w:t>。</w:t>
      </w:r>
      <w:r>
        <w:rPr>
          <w:rFonts w:hint="eastAsia" w:asciiTheme="minorEastAsia" w:hAnsiTheme="minorEastAsia" w:eastAsiaTheme="minorEastAsia"/>
          <w:sz w:val="32"/>
          <w:szCs w:val="32"/>
          <w:lang w:val="en-US" w:eastAsia="zh-CN"/>
        </w:rPr>
        <w:t>2019</w:t>
      </w:r>
      <w:r>
        <w:rPr>
          <w:rFonts w:hint="eastAsia" w:asciiTheme="minorEastAsia" w:hAnsiTheme="minorEastAsia"/>
          <w:sz w:val="32"/>
          <w:szCs w:val="32"/>
          <w:lang w:val="en-US" w:eastAsia="zh-CN"/>
        </w:rPr>
        <w:t>年</w:t>
      </w:r>
      <w:r>
        <w:rPr>
          <w:rFonts w:hint="eastAsia" w:asciiTheme="minorEastAsia" w:hAnsiTheme="minorEastAsia"/>
          <w:sz w:val="32"/>
          <w:szCs w:val="32"/>
        </w:rPr>
        <w:t>公务用车购</w:t>
      </w:r>
      <w:r>
        <w:rPr>
          <w:rFonts w:hint="eastAsia" w:asciiTheme="minorEastAsia" w:hAnsiTheme="minorEastAsia"/>
          <w:sz w:val="32"/>
          <w:szCs w:val="32"/>
          <w:lang w:eastAsia="zh-CN"/>
        </w:rPr>
        <w:t>置数</w:t>
      </w:r>
      <w:r>
        <w:rPr>
          <w:rFonts w:hint="eastAsia" w:asciiTheme="minorEastAsia" w:hAnsiTheme="minorEastAsia"/>
          <w:sz w:val="32"/>
          <w:szCs w:val="32"/>
          <w:lang w:val="en-US" w:eastAsia="zh-CN"/>
        </w:rPr>
        <w:t>0量</w:t>
      </w:r>
      <w:r>
        <w:rPr>
          <w:rFonts w:hint="eastAsia" w:asciiTheme="minorEastAsia" w:hAnsiTheme="minorEastAsia"/>
          <w:sz w:val="32"/>
          <w:szCs w:val="32"/>
        </w:rPr>
        <w:t>，</w:t>
      </w:r>
      <w:r>
        <w:rPr>
          <w:rFonts w:hint="eastAsia" w:asciiTheme="minorEastAsia" w:hAnsiTheme="minorEastAsia"/>
          <w:sz w:val="32"/>
          <w:szCs w:val="32"/>
          <w:lang w:eastAsia="zh-CN"/>
        </w:rPr>
        <w:t>保有</w:t>
      </w:r>
      <w:r>
        <w:rPr>
          <w:rFonts w:hint="eastAsia" w:asciiTheme="minorEastAsia" w:hAnsiTheme="minorEastAsia"/>
          <w:sz w:val="32"/>
          <w:szCs w:val="32"/>
          <w:lang w:val="en-US" w:eastAsia="zh-CN"/>
        </w:rPr>
        <w:t>0</w:t>
      </w:r>
      <w:r>
        <w:rPr>
          <w:rFonts w:hint="eastAsia" w:asciiTheme="minorEastAsia" w:hAnsiTheme="minorEastAsia"/>
          <w:sz w:val="32"/>
          <w:szCs w:val="32"/>
          <w:lang w:eastAsia="zh-CN"/>
        </w:rPr>
        <w:t>量。</w:t>
      </w:r>
      <w:bookmarkStart w:id="0" w:name="_GoBack"/>
      <w:bookmarkEnd w:id="0"/>
    </w:p>
    <w:p>
      <w:pPr>
        <w:pStyle w:val="5"/>
        <w:keepNext w:val="0"/>
        <w:keepLines w:val="0"/>
        <w:widowControl/>
        <w:suppressLineNumbers w:val="0"/>
        <w:spacing w:before="75" w:beforeAutospacing="0" w:after="75" w:afterAutospacing="0" w:line="495" w:lineRule="atLeast"/>
        <w:ind w:left="0" w:right="0" w:firstLine="480"/>
        <w:rPr>
          <w:rFonts w:hint="eastAsia" w:asciiTheme="minorEastAsia" w:hAnsiTheme="minorEastAsia" w:eastAsiaTheme="minorEastAsia"/>
          <w:sz w:val="32"/>
          <w:szCs w:val="32"/>
          <w:lang w:val="en-US" w:eastAsia="zh-CN"/>
        </w:rPr>
      </w:pPr>
    </w:p>
    <w:p>
      <w:pPr>
        <w:ind w:firstLine="800" w:firstLineChars="250"/>
        <w:rPr>
          <w:rFonts w:cs="黑体" w:asciiTheme="minorEastAsia" w:hAnsiTheme="minorEastAsia"/>
          <w:color w:val="000000"/>
          <w:kern w:val="0"/>
          <w:sz w:val="32"/>
          <w:szCs w:val="32"/>
        </w:rPr>
      </w:pPr>
    </w:p>
    <w:p>
      <w:pPr>
        <w:pStyle w:val="10"/>
        <w:rPr>
          <w:rFonts w:hAnsi="黑体"/>
          <w:b/>
          <w:sz w:val="32"/>
          <w:szCs w:val="32"/>
        </w:rPr>
      </w:pPr>
      <w:r>
        <w:rPr>
          <w:rFonts w:hint="eastAsia" w:hAnsi="黑体"/>
          <w:b/>
          <w:sz w:val="32"/>
          <w:szCs w:val="32"/>
        </w:rPr>
        <w:t>八、政府性基金预算收入支出决算情况</w:t>
      </w:r>
    </w:p>
    <w:p>
      <w:pPr>
        <w:ind w:firstLine="800" w:firstLineChars="250"/>
        <w:rPr>
          <w:rFonts w:hint="eastAsia" w:asciiTheme="minorEastAsia" w:hAnsiTheme="minorEastAsia"/>
          <w:sz w:val="32"/>
          <w:szCs w:val="32"/>
          <w:lang w:eastAsia="zh-CN"/>
        </w:rPr>
      </w:pPr>
      <w:r>
        <w:rPr>
          <w:rFonts w:hint="eastAsia" w:asciiTheme="minorEastAsia" w:hAnsiTheme="minorEastAsia" w:eastAsiaTheme="minorEastAsia"/>
          <w:sz w:val="32"/>
          <w:szCs w:val="32"/>
        </w:rPr>
        <w:t xml:space="preserve">     2019年度政府性基金预算财政拨款收入0万元；年初结转和结余0万元；支出0万元，其中基本支出0万元，项目支出0万元；年末结转和结余0万元</w:t>
      </w:r>
      <w:r>
        <w:rPr>
          <w:rFonts w:hint="eastAsia" w:asciiTheme="minorEastAsia" w:hAnsiTheme="minorEastAsia"/>
          <w:sz w:val="32"/>
          <w:szCs w:val="32"/>
          <w:lang w:eastAsia="zh-CN"/>
        </w:rPr>
        <w:t>。</w:t>
      </w:r>
    </w:p>
    <w:p>
      <w:pPr>
        <w:ind w:firstLine="850" w:firstLineChars="250"/>
        <w:rPr>
          <w:rFonts w:cs="黑体" w:asciiTheme="minorEastAsia" w:hAnsiTheme="minorEastAsia"/>
          <w:color w:val="000000"/>
          <w:kern w:val="0"/>
          <w:sz w:val="32"/>
          <w:szCs w:val="32"/>
        </w:rPr>
      </w:pPr>
      <w:r>
        <w:rPr>
          <w:rFonts w:hint="eastAsia" w:ascii="宋体" w:hAnsi="宋体" w:eastAsia="宋体" w:cs="宋体"/>
          <w:i w:val="0"/>
          <w:iCs w:val="0"/>
          <w:caps w:val="0"/>
          <w:color w:val="000000"/>
          <w:spacing w:val="30"/>
          <w:sz w:val="28"/>
          <w:szCs w:val="28"/>
          <w:shd w:val="clear" w:fill="FFFFFF"/>
        </w:rPr>
        <w:t>（注：如无政府性基金预算安排的支出，应反映“本部门无政府性基金安排的支出”）</w:t>
      </w:r>
    </w:p>
    <w:p>
      <w:pPr>
        <w:pStyle w:val="10"/>
        <w:rPr>
          <w:rFonts w:asciiTheme="minorEastAsia" w:hAnsiTheme="minorEastAsia" w:eastAsiaTheme="minorEastAsia"/>
          <w:i/>
          <w:color w:val="FF0000"/>
          <w:sz w:val="32"/>
          <w:szCs w:val="32"/>
        </w:rPr>
      </w:pPr>
    </w:p>
    <w:p>
      <w:pPr>
        <w:pStyle w:val="10"/>
        <w:rPr>
          <w:rFonts w:hAnsi="黑体"/>
          <w:b/>
          <w:sz w:val="32"/>
          <w:szCs w:val="32"/>
        </w:rPr>
      </w:pPr>
      <w:r>
        <w:rPr>
          <w:rFonts w:hint="eastAsia" w:hAnsi="黑体"/>
          <w:b/>
          <w:sz w:val="32"/>
          <w:szCs w:val="32"/>
        </w:rPr>
        <w:t>九、关于2019年度预算绩效情况说明</w:t>
      </w:r>
    </w:p>
    <w:p>
      <w:pPr>
        <w:pStyle w:val="1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本单位2019年未进行整体支出绩效评价信息的公开。</w:t>
      </w:r>
    </w:p>
    <w:p>
      <w:pPr>
        <w:pStyle w:val="10"/>
        <w:rPr>
          <w:rFonts w:hint="eastAsia" w:asciiTheme="minorEastAsia" w:hAnsiTheme="minorEastAsia" w:eastAsiaTheme="minorEastAsia"/>
          <w:sz w:val="32"/>
          <w:szCs w:val="32"/>
        </w:rPr>
      </w:pPr>
    </w:p>
    <w:p>
      <w:pPr>
        <w:pStyle w:val="10"/>
        <w:rPr>
          <w:rFonts w:asciiTheme="minorEastAsia" w:hAnsiTheme="minorEastAsia" w:eastAsiaTheme="minorEastAsia"/>
          <w:sz w:val="32"/>
          <w:szCs w:val="32"/>
        </w:rPr>
      </w:pP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十、其他重要事项情况说明</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（一）机关运行经费支出情况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本部门2019 年度机关运行经费支出131.45万元，本年度下设两个二级机构：衡东县法学会和衡东县社会治理和网格化信息中心。</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（二）一般性支出情况</w:t>
      </w:r>
    </w:p>
    <w:p>
      <w:pPr>
        <w:ind w:firstLine="640" w:firstLineChars="200"/>
        <w:rPr>
          <w:rFonts w:cs="黑体" w:asciiTheme="minorEastAsia" w:hAnsiTheme="minorEastAsia"/>
          <w:kern w:val="0"/>
          <w:sz w:val="32"/>
          <w:szCs w:val="32"/>
        </w:rPr>
      </w:pPr>
      <w:r>
        <w:rPr>
          <w:rFonts w:hint="eastAsia" w:cs="黑体" w:asciiTheme="minorEastAsia" w:hAnsiTheme="minorEastAsia"/>
          <w:kern w:val="0"/>
          <w:sz w:val="32"/>
          <w:szCs w:val="32"/>
        </w:rPr>
        <w:t>2019年本部门开支会议费9.33万元，用于政法工作会议，部署全年的政法信访工作，人数约为600人等。</w:t>
      </w:r>
    </w:p>
    <w:p>
      <w:pPr>
        <w:ind w:firstLine="640" w:firstLineChars="20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（三）政府采购支出情况</w:t>
      </w:r>
    </w:p>
    <w:p>
      <w:pPr>
        <w:ind w:firstLine="640" w:firstLineChars="200"/>
        <w:rPr>
          <w:rFonts w:cs="黑体" w:asciiTheme="minorEastAsia" w:hAnsiTheme="minorEastAsia"/>
          <w:i/>
          <w:color w:val="FF0000"/>
          <w:kern w:val="0"/>
          <w:sz w:val="32"/>
          <w:szCs w:val="32"/>
        </w:rPr>
      </w:pPr>
      <w:r>
        <w:rPr>
          <w:rFonts w:hint="eastAsia" w:cs="黑体" w:asciiTheme="minorEastAsia" w:hAnsiTheme="minorEastAsia"/>
          <w:color w:val="000000"/>
          <w:kern w:val="0"/>
          <w:sz w:val="32"/>
          <w:szCs w:val="32"/>
        </w:rPr>
        <w:t>本部门2019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（四）国有资产占用情况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截至2019年12月31日，本单位共有车辆2辆，其中，领导干部用车0辆、其他用车2辆；单位价值50万元以上通用设备0台（套）；单位价值100万元以上专用设备0台（套）。</w:t>
      </w:r>
    </w:p>
    <w:p>
      <w:pPr>
        <w:widowControl/>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br w:type="page"/>
      </w:r>
    </w:p>
    <w:p>
      <w:pPr>
        <w:ind w:firstLine="640" w:firstLineChars="200"/>
        <w:rPr>
          <w:rFonts w:cs="黑体" w:asciiTheme="minorEastAsia" w:hAnsiTheme="minorEastAsia"/>
          <w:color w:val="000000"/>
          <w:kern w:val="0"/>
          <w:sz w:val="32"/>
          <w:szCs w:val="32"/>
        </w:rPr>
      </w:pPr>
    </w:p>
    <w:p>
      <w:pPr>
        <w:widowControl/>
        <w:jc w:val="left"/>
        <w:rPr>
          <w:rFonts w:hint="eastAsia" w:cs="黑体" w:asciiTheme="minorEastAsia" w:hAnsiTheme="minorEastAsia"/>
          <w:color w:val="000000"/>
          <w:kern w:val="0"/>
          <w:sz w:val="32"/>
          <w:szCs w:val="32"/>
        </w:rPr>
      </w:pPr>
    </w:p>
    <w:p>
      <w:pPr>
        <w:widowControl/>
        <w:jc w:val="left"/>
        <w:rPr>
          <w:rFonts w:hint="eastAsia" w:cs="黑体" w:asciiTheme="minorEastAsia" w:hAnsiTheme="minorEastAsia"/>
          <w:color w:val="000000"/>
          <w:kern w:val="0"/>
          <w:sz w:val="32"/>
          <w:szCs w:val="32"/>
        </w:rPr>
      </w:pPr>
    </w:p>
    <w:p>
      <w:pPr>
        <w:widowControl/>
        <w:jc w:val="left"/>
        <w:rPr>
          <w:rFonts w:hint="eastAsia" w:cs="黑体" w:asciiTheme="minorEastAsia" w:hAnsiTheme="minorEastAsia"/>
          <w:color w:val="000000"/>
          <w:kern w:val="0"/>
          <w:sz w:val="32"/>
          <w:szCs w:val="32"/>
        </w:rPr>
      </w:pPr>
    </w:p>
    <w:p>
      <w:pPr>
        <w:widowControl/>
        <w:ind w:firstLine="3600" w:firstLineChars="500"/>
        <w:jc w:val="left"/>
        <w:rPr>
          <w:rFonts w:cs="黑体" w:asciiTheme="minorEastAsia" w:hAnsiTheme="minorEastAsia"/>
          <w:color w:val="000000"/>
          <w:kern w:val="0"/>
          <w:sz w:val="32"/>
          <w:szCs w:val="32"/>
        </w:rPr>
      </w:pPr>
      <w:r>
        <w:rPr>
          <w:rFonts w:hint="eastAsia"/>
          <w:sz w:val="72"/>
          <w:szCs w:val="72"/>
        </w:rPr>
        <w:t>第三部分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spacing w:line="5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szCs w:val="24"/>
        </w:rPr>
        <w:t>1、一般公共预算:是对以税收为主体的财政收入，安排用于保障和改善民生、推动经济社会发展、维护国家安全、维持国家机构正常运转等方面的收支预算。</w:t>
      </w:r>
    </w:p>
    <w:p>
      <w:pPr>
        <w:spacing w:line="5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szCs w:val="24"/>
        </w:rPr>
        <w:t>2、基本支出：是指为保障单位机构正常运转、完成日常工作任务而发生的各项支出，包括用于基本工资、津贴补贴等人员经费以及办公费、印刷费、水电费、办公设备购置等日常公用经费。</w:t>
      </w:r>
    </w:p>
    <w:p>
      <w:pPr>
        <w:spacing w:line="5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szCs w:val="24"/>
        </w:rPr>
        <w:t>3、项目支出：是指单位为完成财政财务管理工作或事业发展目标而发生的支出。</w:t>
      </w:r>
    </w:p>
    <w:p>
      <w:pPr>
        <w:spacing w:line="5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szCs w:val="24"/>
        </w:rPr>
        <w:t>4、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szCs w:val="24"/>
        </w:rPr>
        <w:t>5、“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jc w:val="left"/>
        <w:rPr>
          <w:rFonts w:asciiTheme="minorEastAsia" w:hAnsiTheme="minorEastAsia"/>
          <w:i/>
          <w:color w:val="FF0000"/>
          <w:sz w:val="32"/>
          <w:szCs w:val="32"/>
        </w:rPr>
      </w:pPr>
      <w:r>
        <w:rPr>
          <w:rFonts w:asciiTheme="minorEastAsia" w:hAnsiTheme="minorEastAsia"/>
          <w:i/>
          <w:color w:val="FF0000"/>
          <w:sz w:val="32"/>
          <w:szCs w:val="32"/>
        </w:rPr>
        <w:br w:type="page"/>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560" w:firstLineChars="200"/>
        <w:jc w:val="left"/>
        <w:rPr>
          <w:rFonts w:cs="黑体" w:asciiTheme="minorEastAsia" w:hAnsiTheme="minorEastAsia"/>
          <w:color w:val="000000"/>
          <w:kern w:val="0"/>
          <w:sz w:val="32"/>
          <w:szCs w:val="32"/>
        </w:rPr>
      </w:pPr>
      <w:r>
        <w:rPr>
          <w:rFonts w:hint="eastAsia" w:hAnsi="仿宋_GB2312"/>
          <w:b/>
          <w:sz w:val="28"/>
          <w:szCs w:val="28"/>
        </w:rPr>
        <w:t>附：</w:t>
      </w:r>
      <w:r>
        <w:rPr>
          <w:rFonts w:hAnsi="仿宋_GB2312"/>
          <w:b/>
          <w:sz w:val="28"/>
          <w:szCs w:val="28"/>
        </w:rPr>
        <w:t>2019</w:t>
      </w:r>
      <w:r>
        <w:rPr>
          <w:rFonts w:hint="eastAsia" w:hAnsi="仿宋_GB2312"/>
          <w:b/>
          <w:sz w:val="28"/>
          <w:szCs w:val="28"/>
        </w:rPr>
        <w:t>年度部门决算表</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AC17A1"/>
    <w:multiLevelType w:val="multilevel"/>
    <w:tmpl w:val="3EAC17A1"/>
    <w:lvl w:ilvl="0" w:tentative="0">
      <w:start w:val="1"/>
      <w:numFmt w:val="decimal"/>
      <w:lvlText w:val="%1、"/>
      <w:lvlJc w:val="left"/>
      <w:pPr>
        <w:ind w:left="1520" w:hanging="72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2229B"/>
    <w:rsid w:val="000273BD"/>
    <w:rsid w:val="000415B7"/>
    <w:rsid w:val="000658A3"/>
    <w:rsid w:val="00074155"/>
    <w:rsid w:val="000A3F69"/>
    <w:rsid w:val="000B32B0"/>
    <w:rsid w:val="000C2686"/>
    <w:rsid w:val="00152C6D"/>
    <w:rsid w:val="00162D39"/>
    <w:rsid w:val="001A67DB"/>
    <w:rsid w:val="001D51E5"/>
    <w:rsid w:val="001F0C3B"/>
    <w:rsid w:val="00214427"/>
    <w:rsid w:val="00265724"/>
    <w:rsid w:val="0027426B"/>
    <w:rsid w:val="003479BD"/>
    <w:rsid w:val="003768D5"/>
    <w:rsid w:val="003B4447"/>
    <w:rsid w:val="004506F9"/>
    <w:rsid w:val="00463528"/>
    <w:rsid w:val="004717A2"/>
    <w:rsid w:val="00491741"/>
    <w:rsid w:val="004D2142"/>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D85"/>
    <w:rsid w:val="00720FF1"/>
    <w:rsid w:val="007516F5"/>
    <w:rsid w:val="007976CD"/>
    <w:rsid w:val="007B10A1"/>
    <w:rsid w:val="00812ED5"/>
    <w:rsid w:val="008277D9"/>
    <w:rsid w:val="008A3E8D"/>
    <w:rsid w:val="009237C4"/>
    <w:rsid w:val="00950252"/>
    <w:rsid w:val="00967F5D"/>
    <w:rsid w:val="009A0F95"/>
    <w:rsid w:val="009B3ADF"/>
    <w:rsid w:val="009C3B52"/>
    <w:rsid w:val="00A42218"/>
    <w:rsid w:val="00A70249"/>
    <w:rsid w:val="00B11DFB"/>
    <w:rsid w:val="00B33BEA"/>
    <w:rsid w:val="00B57C9F"/>
    <w:rsid w:val="00B845B3"/>
    <w:rsid w:val="00B85D8B"/>
    <w:rsid w:val="00BE3674"/>
    <w:rsid w:val="00C3049A"/>
    <w:rsid w:val="00C31B1E"/>
    <w:rsid w:val="00C77645"/>
    <w:rsid w:val="00CE04C3"/>
    <w:rsid w:val="00CE76A0"/>
    <w:rsid w:val="00D148C6"/>
    <w:rsid w:val="00D936D4"/>
    <w:rsid w:val="00DD06FF"/>
    <w:rsid w:val="00DD5FE9"/>
    <w:rsid w:val="00E00C7A"/>
    <w:rsid w:val="00E55B68"/>
    <w:rsid w:val="00F74360"/>
    <w:rsid w:val="00FB462F"/>
    <w:rsid w:val="00FE16FA"/>
    <w:rsid w:val="00FE328A"/>
    <w:rsid w:val="0C3741CA"/>
    <w:rsid w:val="11F857DE"/>
    <w:rsid w:val="12847BAA"/>
    <w:rsid w:val="174C53BF"/>
    <w:rsid w:val="1ED307F3"/>
    <w:rsid w:val="24C61D13"/>
    <w:rsid w:val="2FEC4EF3"/>
    <w:rsid w:val="37BD632D"/>
    <w:rsid w:val="57E56A35"/>
    <w:rsid w:val="623133B9"/>
    <w:rsid w:val="6BFC17FA"/>
    <w:rsid w:val="6CB62D97"/>
    <w:rsid w:val="6E995EF6"/>
    <w:rsid w:val="7C12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C3851-D81C-425D-B6D7-3D170C3028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560</Words>
  <Characters>3196</Characters>
  <Lines>26</Lines>
  <Paragraphs>7</Paragraphs>
  <TotalTime>0</TotalTime>
  <ScaleCrop>false</ScaleCrop>
  <LinksUpToDate>false</LinksUpToDate>
  <CharactersWithSpaces>3749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2021-06-17T03:57:33Z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1DF2142176844259874A1915B0644093</vt:lpwstr>
  </property>
</Properties>
</file>