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54"/>
          <w:szCs w:val="54"/>
        </w:rPr>
        <w:t>第一部分</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54"/>
          <w:szCs w:val="54"/>
        </w:rPr>
        <w:t>南湾乡人民政府概况</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ascii="黑体" w:hAnsi="宋体" w:eastAsia="黑体" w:cs="黑体"/>
          <w:i w:val="0"/>
          <w:caps w:val="0"/>
          <w:color w:val="000000"/>
          <w:spacing w:val="30"/>
          <w:sz w:val="32"/>
          <w:szCs w:val="32"/>
        </w:rPr>
        <w:t>部门职责</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ascii="Calibri" w:hAnsi="Calibri" w:eastAsia="微软雅黑" w:cs="Calibri"/>
          <w:i w:val="0"/>
          <w:caps w:val="0"/>
          <w:color w:val="000000"/>
          <w:spacing w:val="30"/>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完成国家财政计划，不断培植税源，管好财政资金，增强财政实力。5、抓好精神文明建设，丰富群众文化生活，提倡移风易俗，反对封建迷信，破除陈规陋习，树立社会主义新风尚。6、完成上级政府交办的其它事项。</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二、机构设置及决算单位构成</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（一）内设机构设置</w:t>
      </w:r>
    </w:p>
    <w:p>
      <w:pPr>
        <w:pStyle w:val="2"/>
        <w:keepNext w:val="0"/>
        <w:keepLines w:val="0"/>
        <w:widowControl/>
        <w:suppressLineNumbers w:val="0"/>
        <w:spacing w:before="0" w:beforeAutospacing="0" w:after="440" w:afterAutospacing="0"/>
        <w:ind w:left="0" w:right="0" w:firstLine="0"/>
        <w:jc w:val="lef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       南湾乡社会事业综合服务中心、南湾乡农村综合服务中心、南湾乡政务服务中心、南湾乡综合行政执法大队。</w:t>
      </w:r>
    </w:p>
    <w:p>
      <w:pPr>
        <w:pStyle w:val="2"/>
        <w:keepNext w:val="0"/>
        <w:keepLines w:val="0"/>
        <w:widowControl/>
        <w:suppressLineNumbers w:val="0"/>
        <w:spacing w:before="0" w:beforeAutospacing="0" w:after="440" w:afterAutospacing="0"/>
        <w:ind w:left="0" w:right="0" w:firstLine="0"/>
        <w:jc w:val="lef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（二）决算单位构成。南湾乡人民政府2019年部门决算汇总公开单位构成包括：南湾乡人民政府只有本级，没有其他预算单位，因此本部门预算仅含本级预算。</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54"/>
          <w:szCs w:val="54"/>
        </w:rPr>
        <w:t>第二部分</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54"/>
          <w:szCs w:val="54"/>
        </w:rPr>
        <w:t>2019年度部门决算情况说明</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24"/>
          <w:szCs w:val="24"/>
        </w:rPr>
        <w:t> </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一、收入支出决算总体情况说明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 年度收入总计933.37万元，支出总计903.96万元。与2018年相比，收入减少36.10万元，减少3.72%，主要是因为其他收入减少；与2018年相比，支出减少14.98万元，减少1.63%，主要是因为其他支出减少。</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二、收入决算情况说明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本年收入合计933.37万元，其中：财政拨款收入932.31万元，占99.89%；上级补助收入0万元，占0%；事业收入0万元，占0%；经营收入0万元，占0%；附属单位上缴收入0万元，占0%；其他收入1.06万元，占0.11%。</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三、支出决算情况说明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本年支出合计903.96万元，其中：基本支出503.53万元，占55.70%；项目支出400.43万元，占44.3%；上缴上级支出0万元，占0%；经营支出0万元，占0%；对附属单位补助支出0万元，占0%。</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四、财政拨款收入支出决算总体情况说明</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   2019年度财政拨款收入总计932.31，支出总计860.71万元，与2018年相比，财政拨款收入增加61.83万元,增长7.1%，主要是因为人员增多；与2018年相比，一般公共预算财政拨款总支出增加41.22万元,增长5.03%，主要是因为人员增多。</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五、一般公共预算财政拨款支出决算情况说明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（一）财政拨款支出决算总体情况</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2019年度财政拨款支出860.71万元，占本年支出合计的95.22%，与2018年相比，财政拨款支出增加41.22万元，增长5.03%，主要是因为人员增多.</w:t>
      </w:r>
    </w:p>
    <w:p>
      <w:pPr>
        <w:pStyle w:val="2"/>
        <w:keepNext w:val="0"/>
        <w:keepLines w:val="0"/>
        <w:widowControl/>
        <w:suppressLineNumbers w:val="0"/>
        <w:spacing w:before="75" w:beforeAutospacing="0" w:after="75" w:afterAutospacing="0"/>
        <w:ind w:left="0" w:right="0" w:firstLine="48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（二）财政拨款支出决算结构情况</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度财政拨款支出860.71万元，主要用于以下方面：一般公共服务（类）支出362.82万元，占42.15%；农林水（类）支出299.40万元，占34.79%;文化旅游体育与传媒（类）支出5.84万元，占0.68%；社会保障和就业支出（类）支出44.90万元，占5.22%；卫生健康（类）支出11万元，占1.28%；节能环保（类）支出31.35万元，占3.64%；灾害防治及应急管理（类）支出100.5万元，占11.68%；自然资源海洋气象（类）支出4.89万元，占0.56%。</w:t>
      </w:r>
      <w:r>
        <w:rPr>
          <w:rFonts w:hint="default" w:ascii="Calibri" w:hAnsi="Calibri" w:eastAsia="微软雅黑" w:cs="Calibri"/>
          <w:b/>
          <w:i w:val="0"/>
          <w:caps w:val="0"/>
          <w:color w:val="000000"/>
          <w:spacing w:val="30"/>
          <w:sz w:val="32"/>
          <w:szCs w:val="32"/>
        </w:rPr>
        <w:t>  </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（三）财政拨款支出决算具体情况</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2019年度财政拨款支出年初预算数为624.24万元，支出决算数为903.96万元，完成年初预算的144.8%，其中：</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1、一般公共服务（类）人大事务（款）行政运行（项）。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年初预算为5万元，支出决算为11.44万元，完成年初预算的228.8%，决算数大于年初预算数的主要原因是：人员增多</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2、一般公共服务（类）政协事务（款）行政运行（项）。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年初预算为0.5万元，支出决算为1.43万元，完成年初预算的286%，决算数大于年初预算数的主要原因是：人员增多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一般公共服务（类）政府办公厅（室）及相关机构事务（款）行行政运行（项）。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年初预算为223.74万元，支出决算为332.77万元，完成年初预算的148.7%，决算数大于年初预算数的主要原因是：人员增多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一般公共服务（类）政府办公厅（室）及相关机构事务（款）一般行政管理事务（项）。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年初预算为20万元，支出决算为46万元，完成年初预算的230%，决算数大于年初预算数的主要原因是：人员增多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一般公共服务（类）财政事务（款）一般行政管理事务（项）。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年初预算为7万元，支出决算为14.44万元，完成年初预算的206%，决算数大于年初预算数的主要原因是：人员增多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文化旅游体育与传媒支出（类）文化和旅游（款）行政运行（项）。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年初预算为3万元，支出决算为5.84万元，完成年初预算的195%，决算数大于年初预算数的主要原因是：人员增多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社会保障和就业支出（类）人力资源和社会保障管理事务（款）一般行政管理事务（项）。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年初预算为2万元，支出决算为2.98万元，完成年初预算的149%，决算数大于年初预算数的主要原因是：人员增多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社会保障和就业支出（类）行政事业单位离退休（款）机关事业单位基本养老保险缴费支出（项）。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年初预算为35万元，支出决算为41.92万元，完成年初预算的119.77%，决算数大于年初预算数的主要原因是：人员增多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卫生健康支出（类）计划生育事务（款）其他计划生育事务支出（项）。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年初预算为2万元，支出决算为11万元，完成年初预算的550%，决算数大于年初预算数的主要原因是：人员增多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节能环保支出（类）自然生态保护（款）农村环境保护（项）。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年初预算为18万元，支出决算为31.35万元，完成年初预算的174%，决算数大于年初预算数的主要原因是：人员增多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农林水支出（类）农业（款）行政运行（项）。</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年初预算为40万元，支出决算为68.87万元，完成年初预算的172%，决算数大于年初预算数的主要原因是：人员增多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农林水支出（类）农业（款）农村公益事业（项）。</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年初预算为20万元，支出决算为38.67万元，完成年初预算的193%，决算数大于年初预算数的主要原因是：人员增多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农林水支出（类）农业（款）其他农业支出（项）。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年初预算为1万元，支出决算为1万元，完成年初预算的100%。</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农林水支出（类）林业和草原（款）行政运行（项）。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年初预算为10万元，支出决算为17.65万元，完成年初预算的176.5%，决算数大于年初预算数的主要原因是：人员增多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农林水支出（类）水利（款）行政运行（项）。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年初预算为5万元，支出决算为6.72万元，完成年初预算的134.4%，决算数大于年初预算数的主要原因是：人员增多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农林水支出（类）农村综合改革（款）对村级一事一议的补助（项）。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 年初预算为30万元，支出决算为36万元，完成年初预算的120%，决算数大于年初预算数的主要原因是：人员增多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农林水支出（类）农村综合改革（款）对村民委员会和村党支部的补助（项）。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年初预算为120万元，支出决算为130.49万元，完成年初预算的108.74%，决算数大于年初预算数的主要原因是：人员增多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自然资源海洋气象等支出（类）自然资源事务（款）行政运行（项）。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年初预算为4万元，支出决算为4.89万元，完成年初预算的122.25%，决算数大于年初预算数的主要原因是：人员增多</w:t>
      </w: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灾害防治及应急管理支出（类）自然灾害救灾及恢复重建支出（款）中央自然灾害生活补助（项）。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年初预算为70万元，支出决算为92.5万元，完成年初预算的132.14%，决算数大于年初预算数的主要原因是：人员增多</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96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灾害防治及应急管理支出（类）自然灾害救灾及恢复重建支出（款）地方自然灾害生活补助（项）。</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年初预算为8万元，支出决算为8万元，完成年初预算的100%。</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六、一般公共预算财政拨款基本支出决算情况说明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度财政拨款基本支出460.28万元，其中：人员经费339.75万元，占基本支出的73.81%,主要包括基本工资、津贴补贴、奖金、伙食补助费、机关事业单位基本养老保险缴费、其他社会保障缴费、住房公积金、其他工资福利支出、对个人和家庭的补助；公用经费120.53万元，占基本支出的26.19%，主要包括办公费、印刷费、咨询费、电费、差旅费、会议费、培训费、公务接待费、专用材料费、劳务费、委托业务费、工会经费、福利费、其他交通费用、税金及附加费用、其他商品和服务支出。</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七、一般公共预算财政拨款三公经费支出决算情况说明</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（一）"三公"经费财政拨款支出决算总体情况说明</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"三公"经费财政拨款支出预算为4.5万元，支出决算为6.21万元，完成预算的138%，其中：</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因公出国（境）费支出预算为0万元，支出决算为0万元。</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公务接待费支出预算为4.5万元，支出决算为6.21万元，完成预算的138%，决算数大于年初预算数的主要原因是迎检次数超过预期，与上年相比减少2.89万元，减少32%,减少的主要原因厉行节约，严格控制支出。</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公务用车购置费及运行维护费支出预算为0万元，支出决算为0万元。</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（二）"三公"经费财政拨款支出决算具体情况说明</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2019年度"三公"经费财政拨款支出决算中，公务接待费支出决算6.21万元，占100%,因公出国（境）费支出决算0万元，占0%,公务用车购置费及运行维护费支出决算0万元，占0%。其中：</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1、因公出国（境）费支出决算为0万元，全年安排因公出国（境）团组0个，累计0人次。</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2、公务接待费支出决算为6.21万元，全年共接待来访团组123个、来宾328人次，主要是上级各项检查发生的接待支出。</w:t>
      </w:r>
    </w:p>
    <w:p>
      <w:pPr>
        <w:pStyle w:val="2"/>
        <w:keepNext w:val="0"/>
        <w:keepLines w:val="0"/>
        <w:widowControl/>
        <w:suppressLineNumbers w:val="0"/>
        <w:spacing w:before="75" w:beforeAutospacing="0" w:after="75" w:afterAutospacing="0"/>
        <w:ind w:left="0" w:right="0" w:firstLine="80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3、公务用车购置费及运行维护费支出决算为0万元，其中：公务用车购置费0万元。公务用车运行维护费0万元，截止2019年12月31日，我单位开支财政拨款的公务用车保有量为0辆。</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八、政府性基金预算收入支出决算情况</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    本单位无政府性基金收支</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九、关于2019年度预算绩效情况说明</w:t>
      </w:r>
    </w:p>
    <w:p>
      <w:pPr>
        <w:pStyle w:val="2"/>
        <w:keepNext w:val="0"/>
        <w:keepLines w:val="0"/>
        <w:widowControl/>
        <w:suppressLineNumbers w:val="0"/>
        <w:spacing w:before="0" w:beforeAutospacing="0" w:after="440" w:afterAutospacing="0"/>
        <w:ind w:left="0" w:right="0" w:firstLine="960"/>
        <w:jc w:val="lef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本部门预算绩效管理开展情况、绩效目标和绩效评价报告等（按照财政绩效部门要求已公开或其他有关部门要求需随同部门决算一同公开的绩效信息，请作为附件公开）</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b/>
          <w:i w:val="0"/>
          <w:caps w:val="0"/>
          <w:color w:val="000000"/>
          <w:spacing w:val="30"/>
          <w:sz w:val="32"/>
          <w:szCs w:val="32"/>
        </w:rPr>
        <w:t>十、其他重要事项情况说明</w:t>
      </w:r>
    </w:p>
    <w:p>
      <w:pPr>
        <w:pStyle w:val="2"/>
        <w:keepNext w:val="0"/>
        <w:keepLines w:val="0"/>
        <w:widowControl/>
        <w:suppressLineNumbers w:val="0"/>
        <w:spacing w:before="75" w:beforeAutospacing="0" w:after="75" w:afterAutospacing="0"/>
        <w:ind w:left="0" w:right="0" w:firstLine="48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（一）机关运行经费支出情况</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本部门2019 年度机关运行经费支出120.53万元，比年初预算数减少119.09万元，降低49.99%。</w:t>
      </w:r>
      <w:r>
        <w:rPr>
          <w:rFonts w:hint="eastAsia" w:ascii="微软雅黑" w:hAnsi="微软雅黑" w:eastAsia="微软雅黑" w:cs="微软雅黑"/>
          <w:i w:val="0"/>
          <w:caps w:val="0"/>
          <w:color w:val="000000"/>
          <w:spacing w:val="30"/>
          <w:sz w:val="31"/>
          <w:szCs w:val="31"/>
        </w:rPr>
        <w:t>其中，办公费4.85万元，印刷费0.02万，咨询费1.11万元，委托业务费0.46万元，福利费2.01万元，电费2.32万元，差旅费6.68万元，会议费2.02万，培训费1.43万，专用材料费11.39万元，劳务费15.7万元，工会经费26.78万元，公务接待费6.21万元，福利费1.04万元，其他交通费用6.83万元，税金及附加0.09万元，其他商品和服务支出32.63万元。</w:t>
      </w:r>
      <w:r>
        <w:rPr>
          <w:rFonts w:ascii="仿宋" w:hAnsi="仿宋" w:eastAsia="仿宋" w:cs="仿宋"/>
          <w:i w:val="0"/>
          <w:caps w:val="0"/>
          <w:color w:val="000000"/>
          <w:spacing w:val="30"/>
          <w:sz w:val="31"/>
          <w:szCs w:val="31"/>
        </w:rPr>
        <w:t> </w:t>
      </w:r>
      <w:r>
        <w:rPr>
          <w:rFonts w:hint="default" w:ascii="Calibri" w:hAnsi="Calibri" w:eastAsia="微软雅黑" w:cs="Calibri"/>
          <w:i w:val="0"/>
          <w:caps w:val="0"/>
          <w:color w:val="000000"/>
          <w:spacing w:val="30"/>
          <w:sz w:val="32"/>
          <w:szCs w:val="32"/>
        </w:rPr>
        <w:t>主要原因是：厉行节约，严格控制开支。</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32"/>
          <w:szCs w:val="32"/>
        </w:rPr>
        <w:t>（二）一般性支出情况</w:t>
      </w:r>
    </w:p>
    <w:p>
      <w:pPr>
        <w:pStyle w:val="2"/>
        <w:keepNext w:val="0"/>
        <w:keepLines w:val="0"/>
        <w:widowControl/>
        <w:suppressLineNumbers w:val="0"/>
        <w:spacing w:before="0" w:beforeAutospacing="0" w:after="440" w:afterAutospacing="0"/>
        <w:ind w:left="0" w:right="0" w:firstLine="640"/>
        <w:jc w:val="lef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2019年本部门开支会议费2.02万元，用于召开人大会议、村干部会议，人数1823人，内容为会议扶贫政策学习；开支培训费1.43万元，用于开展扶贫业务培训，人数105人，内容为扶贫政策学习；举办工会活动等节庆、晚会、论坛、赛事等活动，开支26.78万元，主要是工会活动。（注：三类会议、培训活动，节庆、晚会、论坛、赛事等活动，请分项列明活动计划及经费预算情况）</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（三）政府采购支出情况</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本部门2019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2"/>
        <w:keepNext w:val="0"/>
        <w:keepLines w:val="0"/>
        <w:widowControl/>
        <w:suppressLineNumbers w:val="0"/>
        <w:spacing w:before="75" w:beforeAutospacing="0" w:after="75" w:afterAutospacing="0"/>
        <w:ind w:left="0" w:right="0" w:firstLine="48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（四）国有资产占用情况</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截至2019年12月31日，本单位共有车辆0辆，其中，领导干部用车0辆、机要通信用车0辆、应急保障用车0辆、执法执勤用车0辆、特种专业技术用车0辆、其他用车0辆0；单位价值50万元以上通用设备0台（套）；单位价值100万元以上专用设备0台（套）。</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24"/>
          <w:szCs w:val="24"/>
        </w:rPr>
        <w:t> </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54"/>
          <w:szCs w:val="54"/>
        </w:rPr>
        <w:t>第三部分</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54"/>
          <w:szCs w:val="54"/>
        </w:rPr>
        <w:t>名词解释</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24"/>
          <w:szCs w:val="24"/>
        </w:rPr>
        <w:t> </w:t>
      </w:r>
    </w:p>
    <w:p>
      <w:pPr>
        <w:pStyle w:val="2"/>
        <w:keepNext w:val="0"/>
        <w:keepLines w:val="0"/>
        <w:widowControl/>
        <w:suppressLineNumbers w:val="0"/>
        <w:spacing w:before="75" w:beforeAutospacing="0" w:after="75" w:afterAutospacing="0"/>
        <w:ind w:left="0" w:right="0" w:firstLine="640"/>
        <w:jc w:val="left"/>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2"/>
        <w:keepNext w:val="0"/>
        <w:keepLines w:val="0"/>
        <w:widowControl/>
        <w:suppressLineNumbers w:val="0"/>
        <w:spacing w:before="75" w:beforeAutospacing="0" w:after="75" w:afterAutospacing="0"/>
        <w:ind w:left="0" w:right="0" w:firstLine="64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32"/>
          <w:szCs w:val="32"/>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54"/>
          <w:szCs w:val="54"/>
        </w:rPr>
        <w:t>第四部分</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54"/>
          <w:szCs w:val="54"/>
        </w:rPr>
        <w:t>附件</w:t>
      </w:r>
    </w:p>
    <w:p>
      <w:pPr>
        <w:pStyle w:val="2"/>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24"/>
          <w:szCs w:val="24"/>
        </w:rPr>
        <w:t> </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0" w:beforeAutospacing="0" w:after="440" w:afterAutospacing="0"/>
        <w:ind w:left="0" w:right="0" w:firstLine="640"/>
        <w:jc w:val="left"/>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b/>
          <w:i w:val="0"/>
          <w:caps w:val="0"/>
          <w:color w:val="000000"/>
          <w:spacing w:val="30"/>
          <w:sz w:val="28"/>
          <w:szCs w:val="28"/>
        </w:rPr>
        <w:t>附：2019年度部门决算表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33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2021-06-09T02:58:00Z</dcterms:created>
  <dc:creator>Lenovo</dc:creator>
  <cp:lastModifiedBy>Lenovo</cp:lastModifiedBy>
  <dcterms:modified xsi:type="dcterms:W3CDTF">2021-06-09T02:59:00Z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