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Times New Roman" w:cs="Times New Roman"/>
          <w:sz w:val="32"/>
        </w:rPr>
      </w:pPr>
      <w:r>
        <w:rPr>
          <w:rFonts w:ascii="宋体" w:hAnsi="宋体" w:eastAsia="宋体" w:cs="宋体"/>
          <w:sz w:val="32"/>
        </w:rPr>
        <w:t>附件</w:t>
      </w:r>
      <w:r>
        <w:rPr>
          <w:rFonts w:ascii="Times New Roman" w:hAnsi="Times New Roman" w:eastAsia="Times New Roman" w:cs="Times New Roman"/>
          <w:sz w:val="32"/>
        </w:rPr>
        <w:t>1-1</w:t>
      </w:r>
    </w:p>
    <w:p>
      <w:pPr>
        <w:jc w:val="center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6"/>
        </w:rPr>
        <w:t xml:space="preserve">  202</w:t>
      </w:r>
      <w:r>
        <w:rPr>
          <w:rFonts w:hint="eastAsia" w:ascii="Times New Roman" w:hAnsi="Times New Roman" w:eastAsia="宋体" w:cs="Times New Roman"/>
          <w:sz w:val="36"/>
          <w:lang w:val="en-US" w:eastAsia="zh-CN"/>
        </w:rPr>
        <w:t>1</w:t>
      </w:r>
      <w:r>
        <w:rPr>
          <w:rFonts w:ascii="宋体" w:hAnsi="宋体" w:eastAsia="宋体" w:cs="宋体"/>
          <w:sz w:val="36"/>
        </w:rPr>
        <w:t>年部门整体支出绩效目标表</w:t>
      </w:r>
    </w:p>
    <w:p>
      <w:pPr>
        <w:tabs>
          <w:tab w:val="left" w:pos="2593"/>
        </w:tabs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ascii="宋体" w:hAnsi="宋体" w:eastAsia="宋体" w:cs="宋体"/>
          <w:sz w:val="24"/>
        </w:rPr>
        <w:t>填报单位：（盖章）</w:t>
      </w:r>
      <w:r>
        <w:rPr>
          <w:rFonts w:ascii="仿宋_GB2312" w:hAnsi="仿宋_GB2312" w:eastAsia="仿宋_GB2312" w:cs="仿宋_GB2312"/>
        </w:rPr>
        <w:tab/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9"/>
        <w:gridCol w:w="1048"/>
        <w:gridCol w:w="1644"/>
        <w:gridCol w:w="869"/>
        <w:gridCol w:w="1051"/>
        <w:gridCol w:w="23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部门名称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衡东县妇幼保健计划生育服务中心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年度预算申请</w:t>
            </w:r>
            <w:r>
              <w:rPr>
                <w:rFonts w:ascii="仿宋_GB2312" w:hAnsi="仿宋_GB2312" w:eastAsia="仿宋_GB2312" w:cs="仿宋_GB2312"/>
              </w:rPr>
              <w:br w:type="textWrapping"/>
            </w:r>
            <w:r>
              <w:rPr>
                <w:rFonts w:ascii="宋体" w:hAnsi="宋体" w:eastAsia="宋体" w:cs="宋体"/>
              </w:rPr>
              <w:t>（万元）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资金总额：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733.2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按收入性质分：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按支出性质分：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 w:cs="宋体"/>
              </w:rPr>
              <w:t>其中：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ascii="宋体" w:hAnsi="宋体" w:eastAsia="宋体" w:cs="宋体"/>
              </w:rPr>
              <w:t>一般公共预算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733.2</w:t>
            </w:r>
            <w:r>
              <w:rPr>
                <w:rFonts w:ascii="宋体" w:hAnsi="宋体" w:eastAsia="宋体" w:cs="宋体"/>
              </w:rPr>
              <w:t>万元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 w:cs="宋体"/>
              </w:rPr>
              <w:t>其中：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宋体" w:hAnsi="宋体" w:eastAsia="宋体" w:cs="宋体"/>
              </w:rPr>
              <w:t>基本支出：4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89.13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      </w:t>
            </w:r>
            <w:r>
              <w:rPr>
                <w:rFonts w:ascii="宋体" w:hAnsi="宋体" w:eastAsia="宋体" w:cs="宋体"/>
              </w:rPr>
              <w:t>政府性基金拨款：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      </w:t>
            </w:r>
            <w:r>
              <w:rPr>
                <w:rFonts w:ascii="宋体" w:hAnsi="宋体" w:eastAsia="宋体" w:cs="宋体"/>
              </w:rPr>
              <w:t>项目支出：2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44.07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 w:cs="宋体"/>
              </w:rPr>
              <w:t>纳入专户管理的非税收入拨款：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            </w:t>
            </w:r>
            <w:r>
              <w:rPr>
                <w:rFonts w:ascii="宋体" w:hAnsi="宋体" w:eastAsia="宋体" w:cs="宋体"/>
              </w:rPr>
              <w:t>其他资金：</w:t>
            </w:r>
          </w:p>
        </w:tc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宋体" w:hAnsi="宋体" w:eastAsia="宋体" w:cs="宋体"/>
              </w:rPr>
              <w:t>部门职能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</w:rPr>
              <w:t>职责概述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1、针对国家妇女儿童健康目标和支持性目标的要求，协助卫生行政部门制定具体规划并牵头实施。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2、提供计划生育技术服务，掌握全县计划生育技术服务的质量、存在问题、并发症及并发症发生乃至转归情况， 负责开展婚前医学检查、孕前优生健康检查、产前筛查、优生咨询工作，掌握人口质量，为提高人口素质服务。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3、负责全县妇女儿童保健和计划生育技术方面的健康教育工作，把一些自我保健知识和简单技术教给广大农村妇女，提高她们自我保健、与疾病和不卫生习惯作斗争的能力。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4、负责全县妇幼卫生常规报告等统计信息的收集、整理、分析评价工作，为县卫生行政部门提供决策的依据，并同时报上一级妇幼保健院。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5、负责培训计划的制定，根据本县妇幼卫生人员的实际业务水平和工作需要，开展岗位培训。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、正确指导农村的新法接生，努力创造条件，提高乡卫生院产科助产水平，改善产科住院及接生条件，提高住院分娩率，降低农村孕产妇死亡率。负责乡卫生院、中心乡卫生院产科的技术指导，开展产科质量、孕产妇死亡、儿童生长发育监测、计划生育技术事故的审评工作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7、负责全县产前艾滋病筛查、农村妇女两癌普查及农村妇女的保健等方面工作。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8、负责县、乡镇儿童入托、入学前健康体检及托幼机构保健人员的培训考核工作。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4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整体绩效目标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目标1：通过预算执行，保证正常工作运转。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目标2：积极推进婚前医学检查、孕前优生健康检查、产前筛查、优生咨询等项目的开展，为妇女儿童提供安全、有效、便捷、优质的医疗保健服务。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部门整体支出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</w:rPr>
              <w:t>年度绩效指标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一级指标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二级指标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三级指标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指标值及单位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产出指标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数量指标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本单位财政供养人员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在职人数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人，退休人员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免费孕前优生检查</w:t>
            </w:r>
            <w:r>
              <w:rPr>
                <w:rFonts w:hint="eastAsia" w:ascii="宋体" w:hAnsi="宋体" w:eastAsia="宋体" w:cs="宋体"/>
                <w:sz w:val="24"/>
              </w:rPr>
              <w:t>人数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500</w:t>
            </w:r>
            <w:r>
              <w:rPr>
                <w:rFonts w:ascii="宋体" w:hAnsi="宋体" w:eastAsia="宋体" w:cs="宋体"/>
              </w:rPr>
              <w:t>人次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婚前医学检查</w:t>
            </w:r>
            <w:r>
              <w:rPr>
                <w:rFonts w:hint="eastAsia" w:ascii="宋体" w:hAnsi="宋体" w:eastAsia="宋体" w:cs="宋体"/>
                <w:sz w:val="24"/>
              </w:rPr>
              <w:t>人数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</w:rPr>
              <w:t>4500</w:t>
            </w:r>
            <w:r>
              <w:rPr>
                <w:rFonts w:ascii="宋体" w:hAnsi="宋体" w:eastAsia="宋体" w:cs="宋体"/>
              </w:rPr>
              <w:t>人次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孕产妇艾梅乙防治目标人群</w:t>
            </w:r>
            <w:r>
              <w:rPr>
                <w:rFonts w:hint="eastAsia" w:ascii="宋体" w:hAnsi="宋体" w:eastAsia="宋体" w:cs="宋体"/>
                <w:sz w:val="24"/>
              </w:rPr>
              <w:t>检查</w:t>
            </w:r>
            <w:r>
              <w:rPr>
                <w:rFonts w:ascii="宋体" w:hAnsi="宋体" w:eastAsia="宋体" w:cs="宋体"/>
                <w:sz w:val="24"/>
              </w:rPr>
              <w:t>数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6327</w:t>
            </w:r>
            <w:r>
              <w:rPr>
                <w:rFonts w:ascii="宋体" w:hAnsi="宋体" w:eastAsia="宋体" w:cs="宋体"/>
              </w:rPr>
              <w:t>人次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免费</w:t>
            </w:r>
            <w:r>
              <w:rPr>
                <w:rFonts w:hint="eastAsia" w:ascii="宋体" w:hAnsi="宋体" w:eastAsia="宋体" w:cs="宋体"/>
              </w:rPr>
              <w:t>三查四术检查</w:t>
            </w:r>
            <w:r>
              <w:rPr>
                <w:rFonts w:ascii="宋体" w:hAnsi="宋体" w:eastAsia="宋体" w:cs="宋体"/>
              </w:rPr>
              <w:t>人次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仿宋_GB2312" w:hAnsi="仿宋_GB2312" w:eastAsia="仿宋_GB2312" w:cs="仿宋_GB2312"/>
              </w:rPr>
              <w:t>1900</w:t>
            </w:r>
            <w:r>
              <w:rPr>
                <w:rFonts w:ascii="宋体" w:hAnsi="宋体" w:eastAsia="宋体" w:cs="宋体"/>
              </w:rPr>
              <w:t>人次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诊疗服务人次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eastAsia="宋体"/>
                <w:lang w:val="en-US" w:eastAsia="zh-CN"/>
              </w:rPr>
              <w:t>49000</w:t>
            </w:r>
            <w:r>
              <w:rPr>
                <w:rFonts w:ascii="宋体" w:hAnsi="宋体" w:eastAsia="宋体" w:cs="宋体"/>
              </w:rPr>
              <w:t>人次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t>医疗服务收入（不 含药品、耗材、检 查、化验收入）占 比情况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t>27.5%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t>药品收入占医疗收 入（不含中药饮 片）占 比情况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  <w:r>
              <w:rPr>
                <w:rFonts w:ascii="仿宋_GB2312" w:hAnsi="仿宋_GB2312" w:eastAsia="仿宋_GB2312" w:cs="仿宋_GB2312"/>
                <w:color w:val="000000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质量指标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单位运转、人员经费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予以保障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孕前优生健康检查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</w:rPr>
              <w:t>98%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婚前医学检查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仿宋_GB2312" w:hAnsi="仿宋_GB2312" w:eastAsia="仿宋_GB2312" w:cs="仿宋_GB2312"/>
              </w:rPr>
              <w:t>98</w:t>
            </w:r>
            <w:r>
              <w:rPr>
                <w:rFonts w:ascii="仿宋_GB2312" w:hAnsi="仿宋_GB2312" w:eastAsia="仿宋_GB2312" w:cs="仿宋_GB2312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孕产妇艾梅乙筛查率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诊疗人员治愈率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</w:rPr>
              <w:t>95%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t>医疗服务收入（不 含药品、耗材、检 查检验收入）占医 疗收入比例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≥</w:t>
            </w:r>
            <w:r>
              <w:rPr>
                <w:rFonts w:hint="eastAsia"/>
              </w:rPr>
              <w:t>30%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t>药品收入占医疗收 入（不含中药饮 片）的比重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30</w:t>
            </w:r>
            <w:r>
              <w:rPr>
                <w:rFonts w:ascii="仿宋_GB2312" w:hAnsi="仿宋_GB2312" w:eastAsia="仿宋_GB2312" w:cs="仿宋_GB2312"/>
                <w:color w:val="000000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三查四术治愈</w:t>
            </w:r>
            <w:r>
              <w:rPr>
                <w:rFonts w:ascii="宋体" w:hAnsi="宋体" w:eastAsia="宋体" w:cs="宋体"/>
              </w:rPr>
              <w:t>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100</w:t>
            </w:r>
            <w:r>
              <w:rPr>
                <w:rFonts w:ascii="仿宋_GB2312" w:hAnsi="仿宋_GB2312" w:eastAsia="仿宋_GB2312" w:cs="仿宋_GB2312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成本指标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人员经费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480.63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公用经费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8.5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计划生育三查四术项目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仿宋_GB2312" w:hAnsi="仿宋_GB2312" w:eastAsia="仿宋_GB2312" w:cs="仿宋_GB2312"/>
              </w:rPr>
              <w:t>34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降消项目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2.81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艾梅乙防治项</w:t>
            </w:r>
            <w:r>
              <w:rPr>
                <w:rFonts w:ascii="宋体" w:hAnsi="宋体" w:eastAsia="宋体" w:cs="宋体"/>
                <w:szCs w:val="21"/>
              </w:rPr>
              <w:t>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36.26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免费婚检项目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仿宋_GB2312" w:hAnsi="仿宋_GB2312" w:eastAsia="仿宋_GB2312" w:cs="仿宋_GB2312"/>
              </w:rPr>
              <w:t>45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免费孕检优生检测项目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125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121急救和血库专项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ascii="宋体" w:hAnsi="宋体" w:eastAsia="宋体" w:cs="宋体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时效指标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计划完成时间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仿宋_GB2312" w:hAnsi="仿宋_GB2312" w:eastAsia="仿宋_GB2312" w:cs="仿宋_GB2312"/>
              </w:rPr>
              <w:t>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>-202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>12</w:t>
            </w:r>
            <w:r>
              <w:rPr>
                <w:rFonts w:ascii="宋体" w:hAnsi="宋体" w:eastAsia="宋体" w:cs="宋体"/>
              </w:rPr>
              <w:t>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效益指标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经济效益指标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医院资产负债率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48%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社会效益指标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医疗服务保障能力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 w:eastAsia="zh-CN"/>
              </w:rPr>
              <w:t>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提倡住院分娩，降低孕产妇死亡</w:t>
            </w:r>
            <w:r>
              <w:rPr>
                <w:rFonts w:hint="eastAsia" w:ascii="宋体" w:hAnsi="宋体" w:eastAsia="宋体" w:cs="宋体"/>
                <w:color w:val="000000"/>
              </w:rPr>
              <w:t>率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为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，五岁以下儿童死亡率</w:t>
            </w:r>
            <w:r>
              <w:rPr>
                <w:rFonts w:hint="default" w:ascii="宋体" w:hAnsi="宋体" w:eastAsia="宋体" w:cs="宋体"/>
                <w:lang w:eastAsia="zh-CN"/>
              </w:rPr>
              <w:t>≤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医疗质量安全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 w:eastAsia="zh-CN"/>
              </w:rPr>
              <w:t>保障率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社会公众或服务对象满意度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服务对象满意度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医务人员满意度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val="zh-CN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85%</w:t>
            </w:r>
          </w:p>
        </w:tc>
      </w:tr>
    </w:tbl>
    <w:p>
      <w:pPr>
        <w:tabs>
          <w:tab w:val="left" w:pos="1333"/>
          <w:tab w:val="left" w:pos="3793"/>
          <w:tab w:val="left" w:pos="5853"/>
        </w:tabs>
        <w:jc w:val="left"/>
        <w:rPr>
          <w:rFonts w:ascii="Times New Roman" w:hAnsi="Times New Roman" w:eastAsia="Times New Roman" w:cs="Times New Roman"/>
        </w:rPr>
      </w:pPr>
    </w:p>
    <w:p>
      <w:pPr>
        <w:tabs>
          <w:tab w:val="left" w:pos="1333"/>
          <w:tab w:val="left" w:pos="3793"/>
          <w:tab w:val="left" w:pos="5853"/>
        </w:tabs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</w:rPr>
        <w:t>填表人：</w:t>
      </w:r>
      <w:r>
        <w:rPr>
          <w:rFonts w:hint="eastAsia" w:ascii="宋体" w:hAnsi="宋体" w:eastAsia="宋体" w:cs="宋体"/>
        </w:rPr>
        <w:t>赵红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ascii="宋体" w:hAnsi="宋体" w:eastAsia="宋体" w:cs="宋体"/>
        </w:rPr>
        <w:t>联系电话：</w:t>
      </w:r>
      <w:r>
        <w:rPr>
          <w:rFonts w:ascii="仿宋_GB2312" w:hAnsi="仿宋_GB2312" w:eastAsia="仿宋_GB2312" w:cs="仿宋_GB2312"/>
        </w:rPr>
        <w:t>523</w:t>
      </w:r>
      <w:r>
        <w:rPr>
          <w:rFonts w:hint="eastAsia" w:ascii="仿宋_GB2312" w:hAnsi="仿宋_GB2312" w:eastAsia="仿宋_GB2312" w:cs="仿宋_GB2312"/>
        </w:rPr>
        <w:t>6312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宋体" w:hAnsi="宋体" w:eastAsia="宋体" w:cs="宋体"/>
        </w:rPr>
        <w:t>填报日期：</w:t>
      </w:r>
      <w:r>
        <w:rPr>
          <w:rFonts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ascii="宋体" w:hAnsi="宋体" w:eastAsia="宋体" w:cs="宋体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ascii="宋体" w:hAnsi="宋体" w:eastAsia="宋体" w:cs="宋体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15</w:t>
      </w:r>
      <w:bookmarkStart w:id="0" w:name="_GoBack"/>
      <w:bookmarkEnd w:id="0"/>
      <w:r>
        <w:rPr>
          <w:rFonts w:ascii="宋体" w:hAnsi="宋体" w:eastAsia="宋体" w:cs="宋体"/>
        </w:rPr>
        <w:t>日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宋体" w:hAnsi="宋体" w:eastAsia="宋体" w:cs="宋体"/>
        </w:rPr>
        <w:t>单位负责人签字：</w:t>
      </w:r>
    </w:p>
    <w:p>
      <w:pPr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auto"/>
        <w:ind w:left="93"/>
        <w:jc w:val="left"/>
        <w:rPr>
          <w:rFonts w:ascii="Times New Roman" w:hAnsi="Times New Roman" w:eastAsia="Times New Roman" w:cs="Times New Roman"/>
          <w:sz w:val="32"/>
        </w:rPr>
      </w:pPr>
    </w:p>
    <w:p>
      <w:pPr>
        <w:jc w:val="left"/>
        <w:rPr>
          <w:rFonts w:ascii="Times New Roman" w:hAnsi="Times New Roman" w:eastAsia="Times New Roman" w:cs="Times New Roman"/>
          <w:sz w:val="32"/>
        </w:rPr>
      </w:pPr>
    </w:p>
    <w:p>
      <w:pPr>
        <w:jc w:val="left"/>
        <w:rPr>
          <w:rFonts w:ascii="Times New Roman" w:hAnsi="Times New Roman" w:eastAsia="Times New Roman" w:cs="Times New Roman"/>
          <w:sz w:val="32"/>
        </w:rPr>
      </w:pPr>
    </w:p>
    <w:p>
      <w:pPr>
        <w:jc w:val="left"/>
        <w:rPr>
          <w:rFonts w:ascii="Times New Roman" w:hAnsi="Times New Roman" w:eastAsia="Times New Roman" w:cs="Times New Roman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C011B"/>
    <w:rsid w:val="00012EE7"/>
    <w:rsid w:val="00086C79"/>
    <w:rsid w:val="00165C17"/>
    <w:rsid w:val="0047224A"/>
    <w:rsid w:val="005C011B"/>
    <w:rsid w:val="00642202"/>
    <w:rsid w:val="006D3983"/>
    <w:rsid w:val="00753AF2"/>
    <w:rsid w:val="007A69B8"/>
    <w:rsid w:val="00AB438C"/>
    <w:rsid w:val="00B40B8B"/>
    <w:rsid w:val="00C208B0"/>
    <w:rsid w:val="00D10091"/>
    <w:rsid w:val="00D337A6"/>
    <w:rsid w:val="00DC5E74"/>
    <w:rsid w:val="00DD5611"/>
    <w:rsid w:val="00FC451C"/>
    <w:rsid w:val="052150B2"/>
    <w:rsid w:val="081E45C6"/>
    <w:rsid w:val="0B896D98"/>
    <w:rsid w:val="0CA85E0A"/>
    <w:rsid w:val="1C1455FF"/>
    <w:rsid w:val="2C4946A2"/>
    <w:rsid w:val="2CB93D6C"/>
    <w:rsid w:val="2D2910CB"/>
    <w:rsid w:val="374B7CE0"/>
    <w:rsid w:val="3A8633C9"/>
    <w:rsid w:val="3D661633"/>
    <w:rsid w:val="45762E8B"/>
    <w:rsid w:val="504268D7"/>
    <w:rsid w:val="506F72B6"/>
    <w:rsid w:val="5E9E0D46"/>
    <w:rsid w:val="62A07315"/>
    <w:rsid w:val="6432146E"/>
    <w:rsid w:val="67283971"/>
    <w:rsid w:val="71486975"/>
    <w:rsid w:val="71C97AA1"/>
    <w:rsid w:val="7469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265</Words>
  <Characters>1515</Characters>
  <Lines>12</Lines>
  <Paragraphs>3</Paragraphs>
  <TotalTime>44</TotalTime>
  <ScaleCrop>false</ScaleCrop>
  <LinksUpToDate>false</LinksUpToDate>
  <CharactersWithSpaces>1777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2020-07-07T07:51:00Z</dcterms:created>
  <dc:creator>Administrator</dc:creator>
  <cp:lastModifiedBy>Administrator</cp:lastModifiedBy>
  <dcterms:modified xsi:type="dcterms:W3CDTF">2021-06-07T09:00:14Z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6AB9E0FE42CD4CEFA712BAFD644DA253</vt:lpwstr>
  </property>
</Properties>
</file>