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2169"/>
        <w:gridCol w:w="346"/>
        <w:gridCol w:w="1037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衡东县商务和粮食局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县级储备粮专项经费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衡东县商务粮食局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推进县级储备粮的仓储、军供粮供应。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按月完成本年度责任状目标任务的单位给予奖励。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县级粮食储备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6143吨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县级粮食储备事故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粮食储备、军供粮供应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全年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桂霞公司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85万元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长乐公司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15万元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保障县级粮食储备及军供粮正常供应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保障粮食物资战略安全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项目业主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0%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填表人：孔新宇          联系电话：5173496878          填报日期：2019年4月27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D2F2D"/>
    <w:rsid w:val="3F5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2021-06-07T13:00:00Z</dcterms:created>
  <dc:creator>宇过添情</dc:creator>
  <cp:lastModifiedBy>宇过添情</cp:lastModifiedBy>
  <dcterms:modified xsi:type="dcterms:W3CDTF">2021-06-07T13:01:32Z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