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75" w:rsidRDefault="005B1383" w:rsidP="00F302E8">
      <w:pPr>
        <w:spacing w:beforeLines="100" w:afterLines="100"/>
        <w:jc w:val="center"/>
        <w:rPr>
          <w:rFonts w:eastAsia="楷体_GB2312"/>
          <w:bCs/>
          <w:kern w:val="0"/>
          <w:sz w:val="32"/>
          <w:szCs w:val="32"/>
        </w:rPr>
      </w:pPr>
      <w:r>
        <w:rPr>
          <w:rFonts w:eastAsia="方正小标宋_GBK" w:hint="eastAsia"/>
          <w:bCs/>
          <w:kern w:val="0"/>
          <w:sz w:val="36"/>
          <w:szCs w:val="36"/>
        </w:rPr>
        <w:t>2019</w:t>
      </w:r>
      <w:bookmarkStart w:id="0" w:name="_GoBack"/>
      <w:bookmarkEnd w:id="0"/>
      <w:r>
        <w:rPr>
          <w:rFonts w:eastAsia="方正小标宋_GBK"/>
          <w:bCs/>
          <w:kern w:val="0"/>
          <w:sz w:val="36"/>
          <w:szCs w:val="36"/>
        </w:rPr>
        <w:t>年部门整体支出绩效目标表</w:t>
      </w:r>
    </w:p>
    <w:p w:rsidR="00E83675" w:rsidRDefault="005B1383">
      <w:pPr>
        <w:widowControl/>
        <w:tabs>
          <w:tab w:val="left" w:pos="2355"/>
        </w:tabs>
        <w:jc w:val="left"/>
        <w:rPr>
          <w:rFonts w:ascii="仿宋_GB2312" w:eastAsia="仿宋_GB2312"/>
          <w:kern w:val="0"/>
          <w:szCs w:val="21"/>
        </w:rPr>
      </w:pPr>
      <w:r>
        <w:rPr>
          <w:rFonts w:ascii="仿宋_GB2312" w:eastAsia="仿宋_GB2312" w:hint="eastAsia"/>
          <w:kern w:val="0"/>
          <w:sz w:val="24"/>
          <w:szCs w:val="21"/>
        </w:rPr>
        <w:t xml:space="preserve"> 填报单位：（盖章）</w:t>
      </w:r>
      <w:r>
        <w:rPr>
          <w:rFonts w:ascii="仿宋_GB2312" w:eastAsia="仿宋_GB2312" w:hint="eastAsia"/>
          <w:kern w:val="0"/>
          <w:szCs w:val="21"/>
        </w:rPr>
        <w:tab/>
        <w:t>衡东县供销合作社联合社</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4"/>
        <w:gridCol w:w="1134"/>
        <w:gridCol w:w="2298"/>
        <w:gridCol w:w="1671"/>
        <w:gridCol w:w="2070"/>
      </w:tblGrid>
      <w:tr w:rsidR="00E83675">
        <w:trPr>
          <w:trHeight w:val="340"/>
          <w:jc w:val="center"/>
        </w:trPr>
        <w:tc>
          <w:tcPr>
            <w:tcW w:w="1135" w:type="dxa"/>
            <w:vAlign w:val="center"/>
          </w:tcPr>
          <w:p w:rsidR="00E83675" w:rsidRDefault="005B1383">
            <w:pPr>
              <w:widowControl/>
              <w:jc w:val="center"/>
              <w:rPr>
                <w:rFonts w:ascii="仿宋_GB2312" w:eastAsia="仿宋_GB2312"/>
                <w:kern w:val="0"/>
                <w:szCs w:val="21"/>
              </w:rPr>
            </w:pPr>
            <w:r>
              <w:rPr>
                <w:rFonts w:ascii="仿宋_GB2312" w:eastAsia="仿宋_GB2312" w:hint="eastAsia"/>
                <w:kern w:val="0"/>
                <w:szCs w:val="21"/>
              </w:rPr>
              <w:t>部门名称</w:t>
            </w:r>
          </w:p>
        </w:tc>
        <w:tc>
          <w:tcPr>
            <w:tcW w:w="8307" w:type="dxa"/>
            <w:gridSpan w:val="5"/>
            <w:vAlign w:val="center"/>
          </w:tcPr>
          <w:p w:rsidR="00E83675" w:rsidRDefault="005B1383">
            <w:pPr>
              <w:widowControl/>
              <w:jc w:val="center"/>
              <w:rPr>
                <w:rFonts w:ascii="仿宋_GB2312" w:eastAsia="仿宋_GB2312"/>
                <w:kern w:val="0"/>
                <w:szCs w:val="21"/>
              </w:rPr>
            </w:pPr>
            <w:r>
              <w:rPr>
                <w:rFonts w:ascii="仿宋_GB2312" w:eastAsia="仿宋_GB2312" w:hint="eastAsia"/>
                <w:kern w:val="0"/>
                <w:szCs w:val="21"/>
              </w:rPr>
              <w:t xml:space="preserve">衡东县供销合作社联合社　</w:t>
            </w:r>
          </w:p>
        </w:tc>
      </w:tr>
      <w:tr w:rsidR="00E83675">
        <w:trPr>
          <w:trHeight w:val="340"/>
          <w:jc w:val="center"/>
        </w:trPr>
        <w:tc>
          <w:tcPr>
            <w:tcW w:w="1135" w:type="dxa"/>
            <w:vMerge w:val="restart"/>
            <w:vAlign w:val="center"/>
          </w:tcPr>
          <w:p w:rsidR="00E83675" w:rsidRDefault="005B1383">
            <w:pPr>
              <w:widowControl/>
              <w:jc w:val="center"/>
              <w:rPr>
                <w:rFonts w:ascii="仿宋_GB2312" w:eastAsia="仿宋_GB2312"/>
                <w:kern w:val="0"/>
                <w:szCs w:val="21"/>
              </w:rPr>
            </w:pPr>
            <w:r>
              <w:rPr>
                <w:rFonts w:ascii="仿宋_GB2312" w:eastAsia="仿宋_GB2312" w:hint="eastAsia"/>
                <w:kern w:val="0"/>
                <w:szCs w:val="21"/>
              </w:rPr>
              <w:t>年度预算申请</w:t>
            </w:r>
            <w:r>
              <w:rPr>
                <w:rFonts w:ascii="仿宋_GB2312" w:eastAsia="仿宋_GB2312" w:hint="eastAsia"/>
                <w:kern w:val="0"/>
                <w:szCs w:val="21"/>
              </w:rPr>
              <w:br/>
              <w:t>（万元）</w:t>
            </w:r>
          </w:p>
        </w:tc>
        <w:tc>
          <w:tcPr>
            <w:tcW w:w="8307" w:type="dxa"/>
            <w:gridSpan w:val="5"/>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资金总额：300.37万元</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4566" w:type="dxa"/>
            <w:gridSpan w:val="3"/>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按收入性质分：</w:t>
            </w:r>
          </w:p>
        </w:tc>
        <w:tc>
          <w:tcPr>
            <w:tcW w:w="3741"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按支出性质分：</w:t>
            </w:r>
          </w:p>
        </w:tc>
      </w:tr>
      <w:tr w:rsidR="00E83675">
        <w:trPr>
          <w:trHeight w:val="90"/>
          <w:jc w:val="center"/>
        </w:trPr>
        <w:tc>
          <w:tcPr>
            <w:tcW w:w="1135" w:type="dxa"/>
            <w:vMerge/>
            <w:vAlign w:val="center"/>
          </w:tcPr>
          <w:p w:rsidR="00E83675" w:rsidRDefault="00E83675">
            <w:pPr>
              <w:widowControl/>
              <w:jc w:val="left"/>
              <w:rPr>
                <w:rFonts w:ascii="仿宋_GB2312" w:eastAsia="仿宋_GB2312"/>
                <w:kern w:val="0"/>
                <w:szCs w:val="21"/>
              </w:rPr>
            </w:pPr>
          </w:p>
        </w:tc>
        <w:tc>
          <w:tcPr>
            <w:tcW w:w="4566" w:type="dxa"/>
            <w:gridSpan w:val="3"/>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其中：  一般公共预算：</w:t>
            </w:r>
          </w:p>
        </w:tc>
        <w:tc>
          <w:tcPr>
            <w:tcW w:w="3741"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其中： 基本支出：257.97万元</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4566" w:type="dxa"/>
            <w:gridSpan w:val="3"/>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 xml:space="preserve">       政府性基金拨款：</w:t>
            </w:r>
          </w:p>
        </w:tc>
        <w:tc>
          <w:tcPr>
            <w:tcW w:w="3741"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 xml:space="preserve">       项目支出：42.4万元</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4566" w:type="dxa"/>
            <w:gridSpan w:val="3"/>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纳入专户管理的非税收入拨款：</w:t>
            </w:r>
          </w:p>
        </w:tc>
        <w:tc>
          <w:tcPr>
            <w:tcW w:w="3741"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 xml:space="preserve">       </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4566" w:type="dxa"/>
            <w:gridSpan w:val="3"/>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 xml:space="preserve">             其他资金：</w:t>
            </w:r>
          </w:p>
        </w:tc>
        <w:tc>
          <w:tcPr>
            <w:tcW w:w="3741" w:type="dxa"/>
            <w:gridSpan w:val="2"/>
            <w:vAlign w:val="center"/>
          </w:tcPr>
          <w:p w:rsidR="00E83675" w:rsidRDefault="00E83675">
            <w:pPr>
              <w:widowControl/>
              <w:jc w:val="left"/>
              <w:rPr>
                <w:rFonts w:ascii="仿宋_GB2312" w:eastAsia="仿宋_GB2312"/>
                <w:kern w:val="0"/>
                <w:szCs w:val="21"/>
              </w:rPr>
            </w:pPr>
          </w:p>
        </w:tc>
      </w:tr>
      <w:tr w:rsidR="00E83675">
        <w:trPr>
          <w:trHeight w:val="945"/>
          <w:jc w:val="center"/>
        </w:trPr>
        <w:tc>
          <w:tcPr>
            <w:tcW w:w="1135"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部门职能</w:t>
            </w:r>
          </w:p>
          <w:p w:rsidR="00E83675" w:rsidRDefault="005B1383">
            <w:pPr>
              <w:widowControl/>
              <w:jc w:val="left"/>
              <w:rPr>
                <w:rFonts w:ascii="仿宋_GB2312" w:eastAsia="仿宋_GB2312"/>
                <w:kern w:val="0"/>
                <w:szCs w:val="21"/>
              </w:rPr>
            </w:pPr>
            <w:r>
              <w:rPr>
                <w:rFonts w:ascii="仿宋_GB2312" w:eastAsia="仿宋_GB2312" w:hint="eastAsia"/>
                <w:kern w:val="0"/>
                <w:szCs w:val="21"/>
              </w:rPr>
              <w:t>职责概述</w:t>
            </w:r>
          </w:p>
        </w:tc>
        <w:tc>
          <w:tcPr>
            <w:tcW w:w="8307" w:type="dxa"/>
            <w:gridSpan w:val="5"/>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1、贯彻执行中央、国务院、省、市、县有关供销社改革发展的路线、政策和法规。负责制定全县供销合作社改革和发展规划并组织具体实施。</w:t>
            </w:r>
          </w:p>
          <w:p w:rsidR="00E83675" w:rsidRDefault="005B1383">
            <w:pPr>
              <w:widowControl/>
              <w:jc w:val="left"/>
              <w:rPr>
                <w:rFonts w:ascii="仿宋_GB2312" w:eastAsia="仿宋_GB2312"/>
                <w:kern w:val="0"/>
                <w:szCs w:val="21"/>
              </w:rPr>
            </w:pPr>
            <w:r>
              <w:rPr>
                <w:rFonts w:ascii="仿宋_GB2312" w:eastAsia="仿宋_GB2312" w:hint="eastAsia"/>
                <w:kern w:val="0"/>
                <w:szCs w:val="21"/>
              </w:rPr>
              <w:t>2、负责建设全县农村现代商品流通体系。主要发展农业生产资料、农村日用消费品（含图书、药品）农副产品现代购销、再生资源回收利用和烟花炮竹归口经营。</w:t>
            </w:r>
          </w:p>
          <w:p w:rsidR="00E83675" w:rsidRDefault="005B1383">
            <w:pPr>
              <w:widowControl/>
              <w:jc w:val="left"/>
              <w:rPr>
                <w:rFonts w:ascii="仿宋_GB2312" w:eastAsia="仿宋_GB2312"/>
                <w:kern w:val="0"/>
                <w:szCs w:val="21"/>
              </w:rPr>
            </w:pPr>
            <w:r>
              <w:rPr>
                <w:rFonts w:ascii="仿宋_GB2312" w:eastAsia="仿宋_GB2312" w:hint="eastAsia"/>
                <w:kern w:val="0"/>
                <w:szCs w:val="21"/>
              </w:rPr>
              <w:t>3、负责建立新型完整的为农服务体系，采取创办、领办、联办等形式发展农村专业合作社，创办农产品基地，组建有关行业协会。负责在全县农村社区建立主题多元、功能完备，便民实用的综合服务中心。</w:t>
            </w:r>
          </w:p>
          <w:p w:rsidR="00E83675" w:rsidRDefault="005B1383">
            <w:pPr>
              <w:widowControl/>
              <w:jc w:val="left"/>
              <w:rPr>
                <w:rFonts w:ascii="仿宋_GB2312" w:eastAsia="仿宋_GB2312"/>
                <w:kern w:val="0"/>
                <w:szCs w:val="21"/>
              </w:rPr>
            </w:pPr>
            <w:r>
              <w:rPr>
                <w:rFonts w:ascii="仿宋_GB2312" w:eastAsia="仿宋_GB2312" w:hint="eastAsia"/>
                <w:kern w:val="0"/>
                <w:szCs w:val="21"/>
              </w:rPr>
              <w:t>4、指导全县供销合作社系统做大</w:t>
            </w:r>
            <w:proofErr w:type="gramStart"/>
            <w:r>
              <w:rPr>
                <w:rFonts w:ascii="仿宋_GB2312" w:eastAsia="仿宋_GB2312" w:hint="eastAsia"/>
                <w:kern w:val="0"/>
                <w:szCs w:val="21"/>
              </w:rPr>
              <w:t>做强社有</w:t>
            </w:r>
            <w:proofErr w:type="gramEnd"/>
            <w:r>
              <w:rPr>
                <w:rFonts w:ascii="仿宋_GB2312" w:eastAsia="仿宋_GB2312" w:hint="eastAsia"/>
                <w:kern w:val="0"/>
                <w:szCs w:val="21"/>
              </w:rPr>
              <w:t>企业，培育参股控股各类龙头企业，推进社有企业健全现代企业制度，推动社有企业参与农业产业化、标准化示范、农业技术研发推广等项目，积极探索适合当地农村发展新的金融产品和服务方式。</w:t>
            </w:r>
          </w:p>
          <w:p w:rsidR="00E83675" w:rsidRDefault="005B1383">
            <w:pPr>
              <w:widowControl/>
              <w:jc w:val="left"/>
              <w:rPr>
                <w:rFonts w:ascii="仿宋_GB2312" w:eastAsia="仿宋_GB2312"/>
                <w:kern w:val="0"/>
                <w:szCs w:val="21"/>
              </w:rPr>
            </w:pPr>
            <w:r>
              <w:rPr>
                <w:rFonts w:ascii="仿宋_GB2312" w:eastAsia="仿宋_GB2312" w:hint="eastAsia"/>
                <w:kern w:val="0"/>
                <w:szCs w:val="21"/>
              </w:rPr>
              <w:t>5、会同有关部门参与全县农村商品流通及市场体系建设的规划编制及修订；参与有关农业生产资料和烟花炮竹行业的市场管理；参与管理指导农村专业合作社、行业协会、农产品经纪人队伍的建设；参与管理指导全县再生资源回收利用市场体系建设。</w:t>
            </w:r>
          </w:p>
          <w:p w:rsidR="00E83675" w:rsidRDefault="005B1383">
            <w:pPr>
              <w:widowControl/>
              <w:jc w:val="left"/>
              <w:rPr>
                <w:rFonts w:ascii="仿宋_GB2312" w:eastAsia="仿宋_GB2312"/>
                <w:kern w:val="0"/>
                <w:szCs w:val="21"/>
              </w:rPr>
            </w:pPr>
            <w:r>
              <w:rPr>
                <w:rFonts w:ascii="仿宋_GB2312" w:eastAsia="仿宋_GB2312" w:hint="eastAsia"/>
                <w:kern w:val="0"/>
                <w:szCs w:val="21"/>
              </w:rPr>
              <w:t>6、指导和监督供销合作社系统的资产管理，确保社有资产的保值增值，依法依规维护供销社的合法权益。</w:t>
            </w:r>
          </w:p>
          <w:p w:rsidR="00E83675" w:rsidRDefault="005B1383">
            <w:pPr>
              <w:widowControl/>
              <w:jc w:val="left"/>
              <w:rPr>
                <w:rFonts w:ascii="仿宋_GB2312" w:eastAsia="仿宋_GB2312"/>
                <w:kern w:val="0"/>
                <w:szCs w:val="21"/>
              </w:rPr>
            </w:pPr>
            <w:r>
              <w:rPr>
                <w:rFonts w:ascii="仿宋_GB2312" w:eastAsia="仿宋_GB2312" w:hint="eastAsia"/>
                <w:kern w:val="0"/>
                <w:szCs w:val="21"/>
              </w:rPr>
              <w:t>7、指导供销合作社系统的科技开发和有关科技成果的转化及推广工作，推进科技兴社。</w:t>
            </w:r>
          </w:p>
          <w:p w:rsidR="00E83675" w:rsidRDefault="005B1383">
            <w:pPr>
              <w:widowControl/>
              <w:jc w:val="left"/>
              <w:rPr>
                <w:rFonts w:ascii="仿宋_GB2312" w:eastAsia="仿宋_GB2312"/>
                <w:kern w:val="0"/>
                <w:szCs w:val="21"/>
              </w:rPr>
            </w:pPr>
            <w:r>
              <w:rPr>
                <w:rFonts w:ascii="仿宋_GB2312" w:eastAsia="仿宋_GB2312" w:hint="eastAsia"/>
                <w:kern w:val="0"/>
                <w:szCs w:val="21"/>
              </w:rPr>
              <w:t>8、指导供销合作社系统通过各种措施加强人才队伍建设，实施人才兴社战略，优化干部职工知识和年龄结构。</w:t>
            </w:r>
          </w:p>
          <w:p w:rsidR="00E83675" w:rsidRDefault="005B1383">
            <w:pPr>
              <w:widowControl/>
              <w:jc w:val="left"/>
              <w:rPr>
                <w:rFonts w:ascii="仿宋_GB2312" w:eastAsia="仿宋_GB2312"/>
                <w:kern w:val="0"/>
                <w:szCs w:val="21"/>
              </w:rPr>
            </w:pPr>
            <w:r>
              <w:rPr>
                <w:rFonts w:ascii="仿宋_GB2312" w:eastAsia="仿宋_GB2312" w:hint="eastAsia"/>
                <w:kern w:val="0"/>
                <w:szCs w:val="21"/>
              </w:rPr>
              <w:t>9、</w:t>
            </w:r>
            <w:proofErr w:type="gramStart"/>
            <w:r>
              <w:rPr>
                <w:rFonts w:ascii="仿宋_GB2312" w:eastAsia="仿宋_GB2312" w:hint="eastAsia"/>
                <w:kern w:val="0"/>
                <w:szCs w:val="21"/>
              </w:rPr>
              <w:t>承办县</w:t>
            </w:r>
            <w:proofErr w:type="gramEnd"/>
            <w:r>
              <w:rPr>
                <w:rFonts w:ascii="仿宋_GB2312" w:eastAsia="仿宋_GB2312" w:hint="eastAsia"/>
                <w:kern w:val="0"/>
                <w:szCs w:val="21"/>
              </w:rPr>
              <w:t>人民政府交办的其他事项。</w:t>
            </w:r>
          </w:p>
          <w:p w:rsidR="00E83675" w:rsidRDefault="00E83675">
            <w:pPr>
              <w:widowControl/>
              <w:jc w:val="left"/>
              <w:rPr>
                <w:rFonts w:ascii="仿宋_GB2312" w:eastAsia="仿宋_GB2312"/>
                <w:kern w:val="0"/>
                <w:szCs w:val="21"/>
              </w:rPr>
            </w:pPr>
          </w:p>
        </w:tc>
      </w:tr>
      <w:tr w:rsidR="00E83675">
        <w:trPr>
          <w:trHeight w:val="1012"/>
          <w:jc w:val="center"/>
        </w:trPr>
        <w:tc>
          <w:tcPr>
            <w:tcW w:w="1135" w:type="dxa"/>
            <w:vAlign w:val="center"/>
          </w:tcPr>
          <w:p w:rsidR="00E83675" w:rsidRDefault="005B1383">
            <w:pPr>
              <w:widowControl/>
              <w:ind w:left="840" w:hangingChars="400" w:hanging="840"/>
              <w:jc w:val="left"/>
              <w:rPr>
                <w:rFonts w:ascii="仿宋_GB2312" w:eastAsia="仿宋_GB2312"/>
                <w:kern w:val="0"/>
                <w:szCs w:val="21"/>
              </w:rPr>
            </w:pPr>
            <w:r>
              <w:rPr>
                <w:rFonts w:ascii="仿宋_GB2312" w:eastAsia="仿宋_GB2312" w:hint="eastAsia"/>
                <w:kern w:val="0"/>
                <w:szCs w:val="21"/>
              </w:rPr>
              <w:t xml:space="preserve">             整体绩效目标</w:t>
            </w:r>
          </w:p>
        </w:tc>
        <w:tc>
          <w:tcPr>
            <w:tcW w:w="8307" w:type="dxa"/>
            <w:gridSpan w:val="5"/>
            <w:vAlign w:val="center"/>
          </w:tcPr>
          <w:p w:rsidR="00E83675" w:rsidRDefault="005B1383">
            <w:pPr>
              <w:widowControl/>
              <w:ind w:firstLineChars="200" w:firstLine="420"/>
              <w:jc w:val="left"/>
              <w:rPr>
                <w:rFonts w:ascii="仿宋_GB2312" w:eastAsia="仿宋_GB2312" w:hAnsi="仿宋_GB2312" w:cs="仿宋_GB2312"/>
                <w:kern w:val="0"/>
                <w:szCs w:val="21"/>
              </w:rPr>
            </w:pPr>
            <w:r>
              <w:rPr>
                <w:rFonts w:ascii="仿宋_GB2312" w:eastAsia="仿宋_GB2312" w:hint="eastAsia"/>
                <w:kern w:val="0"/>
                <w:szCs w:val="21"/>
              </w:rPr>
              <w:t>通过预算执行，保障单位履职,运转.积极推进项目建设,充分发挥管理</w:t>
            </w:r>
            <w:r>
              <w:rPr>
                <w:rFonts w:ascii="仿宋_GB2312" w:eastAsia="仿宋_GB2312" w:hAnsi="仿宋_GB2312" w:cs="仿宋_GB2312" w:hint="eastAsia"/>
                <w:kern w:val="0"/>
                <w:szCs w:val="21"/>
              </w:rPr>
              <w:t>,服务,协调作用,收集信息提出建议,为县委,政府提供决策参考依据.</w:t>
            </w:r>
          </w:p>
        </w:tc>
      </w:tr>
      <w:tr w:rsidR="00E83675">
        <w:trPr>
          <w:trHeight w:val="340"/>
          <w:jc w:val="center"/>
        </w:trPr>
        <w:tc>
          <w:tcPr>
            <w:tcW w:w="1135"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部门整体支出</w:t>
            </w:r>
          </w:p>
          <w:p w:rsidR="00E83675" w:rsidRDefault="005B1383">
            <w:pPr>
              <w:widowControl/>
              <w:jc w:val="left"/>
              <w:rPr>
                <w:rFonts w:ascii="仿宋_GB2312" w:eastAsia="仿宋_GB2312"/>
                <w:kern w:val="0"/>
                <w:szCs w:val="21"/>
              </w:rPr>
            </w:pPr>
            <w:r>
              <w:rPr>
                <w:rFonts w:ascii="仿宋_GB2312" w:eastAsia="仿宋_GB2312" w:hint="eastAsia"/>
                <w:kern w:val="0"/>
                <w:szCs w:val="21"/>
              </w:rPr>
              <w:t>年度绩效指标</w:t>
            </w: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一级指标</w:t>
            </w: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二级指标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三级指标</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指标值及单位</w:t>
            </w:r>
          </w:p>
        </w:tc>
      </w:tr>
      <w:tr w:rsidR="00E83675">
        <w:trPr>
          <w:trHeight w:val="463"/>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产出指标</w:t>
            </w:r>
          </w:p>
        </w:tc>
        <w:tc>
          <w:tcPr>
            <w:tcW w:w="1134"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数量指标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本单位财政供养人员</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在职人数20人，退休人员26人</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部门单位履职、运转</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予以保障</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党建、信访、</w:t>
            </w:r>
            <w:proofErr w:type="gramStart"/>
            <w:r>
              <w:rPr>
                <w:rFonts w:ascii="仿宋_GB2312" w:eastAsia="仿宋_GB2312" w:hint="eastAsia"/>
                <w:kern w:val="0"/>
                <w:szCs w:val="21"/>
              </w:rPr>
              <w:t>安全维稳</w:t>
            </w:r>
            <w:proofErr w:type="gramEnd"/>
            <w:r>
              <w:rPr>
                <w:rFonts w:ascii="仿宋_GB2312" w:eastAsia="仿宋_GB2312" w:hint="eastAsia"/>
                <w:kern w:val="0"/>
                <w:szCs w:val="21"/>
              </w:rPr>
              <w:t>、安全生产等工作正常开展</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全部完成</w:t>
            </w:r>
          </w:p>
        </w:tc>
      </w:tr>
      <w:tr w:rsidR="00E83675">
        <w:trPr>
          <w:trHeight w:val="985"/>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完成乡镇供销惠农综合服务中心建设</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2</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质量指标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在职人员控制率</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≤100%</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公用经费控制率</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≤100%</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乡镇供销惠农综合服务中心建设完成</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通过</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成本指标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保障财政供销人员</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≤231.25万元</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保证单位正常运转</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≤26.72万元</w:t>
            </w:r>
          </w:p>
        </w:tc>
      </w:tr>
      <w:tr w:rsidR="00E83675">
        <w:trPr>
          <w:trHeight w:val="34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时效指标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年度内及时完成县委、政府及局领导交办的各项任务</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年度内及时完成</w:t>
            </w:r>
          </w:p>
        </w:tc>
      </w:tr>
      <w:tr w:rsidR="00E83675">
        <w:trPr>
          <w:trHeight w:val="499"/>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restart"/>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效益指标</w:t>
            </w: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经济效益指标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通过对服务中心监管,服务,促进平台建设</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统计部门相关数据</w:t>
            </w:r>
          </w:p>
        </w:tc>
      </w:tr>
      <w:tr w:rsidR="00E83675">
        <w:trPr>
          <w:trHeight w:val="431"/>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生态效益指标</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增加农民收入，推动农村经济发展</w:t>
            </w:r>
          </w:p>
        </w:tc>
        <w:tc>
          <w:tcPr>
            <w:tcW w:w="2070" w:type="dxa"/>
            <w:vAlign w:val="center"/>
          </w:tcPr>
          <w:p w:rsidR="00E83675" w:rsidRDefault="00E83675">
            <w:pPr>
              <w:widowControl/>
              <w:jc w:val="left"/>
              <w:rPr>
                <w:rFonts w:ascii="仿宋_GB2312" w:eastAsia="仿宋_GB2312"/>
                <w:kern w:val="0"/>
                <w:szCs w:val="21"/>
              </w:rPr>
            </w:pPr>
          </w:p>
        </w:tc>
      </w:tr>
      <w:tr w:rsidR="00E83675">
        <w:trPr>
          <w:trHeight w:val="690"/>
          <w:jc w:val="center"/>
        </w:trPr>
        <w:tc>
          <w:tcPr>
            <w:tcW w:w="1135" w:type="dxa"/>
            <w:vMerge/>
            <w:vAlign w:val="center"/>
          </w:tcPr>
          <w:p w:rsidR="00E83675" w:rsidRDefault="00E83675">
            <w:pPr>
              <w:widowControl/>
              <w:jc w:val="left"/>
              <w:rPr>
                <w:rFonts w:ascii="仿宋_GB2312" w:eastAsia="仿宋_GB2312"/>
                <w:kern w:val="0"/>
                <w:szCs w:val="21"/>
              </w:rPr>
            </w:pPr>
          </w:p>
        </w:tc>
        <w:tc>
          <w:tcPr>
            <w:tcW w:w="1134" w:type="dxa"/>
            <w:vMerge/>
            <w:vAlign w:val="center"/>
          </w:tcPr>
          <w:p w:rsidR="00E83675" w:rsidRDefault="00E83675">
            <w:pPr>
              <w:widowControl/>
              <w:jc w:val="left"/>
              <w:rPr>
                <w:rFonts w:ascii="仿宋_GB2312" w:eastAsia="仿宋_GB2312"/>
                <w:kern w:val="0"/>
                <w:szCs w:val="21"/>
              </w:rPr>
            </w:pPr>
          </w:p>
        </w:tc>
        <w:tc>
          <w:tcPr>
            <w:tcW w:w="1134"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社会公众或服务对象满意度</w:t>
            </w:r>
          </w:p>
        </w:tc>
        <w:tc>
          <w:tcPr>
            <w:tcW w:w="3969" w:type="dxa"/>
            <w:gridSpan w:val="2"/>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受益群众满意度</w:t>
            </w:r>
          </w:p>
        </w:tc>
        <w:tc>
          <w:tcPr>
            <w:tcW w:w="2070" w:type="dxa"/>
            <w:vAlign w:val="center"/>
          </w:tcPr>
          <w:p w:rsidR="00E83675" w:rsidRDefault="005B1383">
            <w:pPr>
              <w:widowControl/>
              <w:jc w:val="left"/>
              <w:rPr>
                <w:rFonts w:ascii="仿宋_GB2312" w:eastAsia="仿宋_GB2312"/>
                <w:kern w:val="0"/>
                <w:szCs w:val="21"/>
              </w:rPr>
            </w:pPr>
            <w:r>
              <w:rPr>
                <w:rFonts w:ascii="仿宋_GB2312" w:eastAsia="仿宋_GB2312" w:hint="eastAsia"/>
                <w:kern w:val="0"/>
                <w:szCs w:val="21"/>
              </w:rPr>
              <w:t>≥90%</w:t>
            </w:r>
          </w:p>
        </w:tc>
      </w:tr>
    </w:tbl>
    <w:p w:rsidR="00E83675" w:rsidRDefault="005B1383">
      <w:pPr>
        <w:widowControl/>
        <w:jc w:val="left"/>
        <w:rPr>
          <w:rFonts w:ascii="仿宋_GB2312" w:eastAsia="仿宋_GB2312"/>
          <w:kern w:val="0"/>
          <w:szCs w:val="21"/>
        </w:rPr>
      </w:pPr>
      <w:r>
        <w:rPr>
          <w:rFonts w:ascii="仿宋_GB2312" w:eastAsia="仿宋_GB2312" w:hint="eastAsia"/>
          <w:kern w:val="0"/>
          <w:szCs w:val="21"/>
        </w:rPr>
        <w:t>填表人：王飞红         联系电话：  13974705325       填报日期：</w:t>
      </w:r>
      <w:r w:rsidR="00F302E8">
        <w:rPr>
          <w:rFonts w:ascii="仿宋_GB2312" w:eastAsia="仿宋_GB2312" w:hint="eastAsia"/>
          <w:kern w:val="0"/>
          <w:szCs w:val="21"/>
        </w:rPr>
        <w:t>2019</w:t>
      </w:r>
      <w:r>
        <w:rPr>
          <w:rFonts w:ascii="仿宋_GB2312" w:eastAsia="仿宋_GB2312" w:hint="eastAsia"/>
          <w:kern w:val="0"/>
          <w:szCs w:val="21"/>
        </w:rPr>
        <w:t>年</w:t>
      </w:r>
      <w:r w:rsidR="00F302E8">
        <w:rPr>
          <w:rFonts w:ascii="仿宋_GB2312" w:eastAsia="仿宋_GB2312" w:hint="eastAsia"/>
          <w:kern w:val="0"/>
          <w:szCs w:val="21"/>
        </w:rPr>
        <w:t>5</w:t>
      </w:r>
      <w:r>
        <w:rPr>
          <w:rFonts w:ascii="仿宋_GB2312" w:eastAsia="仿宋_GB2312" w:hint="eastAsia"/>
          <w:kern w:val="0"/>
          <w:szCs w:val="21"/>
        </w:rPr>
        <w:t>月2日          单位负责人签字：文红兵</w:t>
      </w:r>
    </w:p>
    <w:sectPr w:rsidR="00E83675" w:rsidSect="00E83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B7" w:rsidRDefault="002A28B7" w:rsidP="002B082D">
      <w:r>
        <w:separator/>
      </w:r>
    </w:p>
  </w:endnote>
  <w:endnote w:type="continuationSeparator" w:id="0">
    <w:p w:rsidR="002A28B7" w:rsidRDefault="002A28B7" w:rsidP="002B0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B7" w:rsidRDefault="002A28B7" w:rsidP="002B082D">
      <w:r>
        <w:separator/>
      </w:r>
    </w:p>
  </w:footnote>
  <w:footnote w:type="continuationSeparator" w:id="0">
    <w:p w:rsidR="002A28B7" w:rsidRDefault="002A28B7" w:rsidP="002B0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643A"/>
    <w:rsid w:val="000610AF"/>
    <w:rsid w:val="00080F36"/>
    <w:rsid w:val="000D17E0"/>
    <w:rsid w:val="000F7EF5"/>
    <w:rsid w:val="00117D75"/>
    <w:rsid w:val="001647ED"/>
    <w:rsid w:val="00186DF0"/>
    <w:rsid w:val="0021253F"/>
    <w:rsid w:val="002A28B7"/>
    <w:rsid w:val="002B082D"/>
    <w:rsid w:val="00301098"/>
    <w:rsid w:val="003563A4"/>
    <w:rsid w:val="003908F6"/>
    <w:rsid w:val="00430AB4"/>
    <w:rsid w:val="004B1271"/>
    <w:rsid w:val="004E061C"/>
    <w:rsid w:val="00577941"/>
    <w:rsid w:val="005A111A"/>
    <w:rsid w:val="005B1383"/>
    <w:rsid w:val="005D643A"/>
    <w:rsid w:val="00613CA6"/>
    <w:rsid w:val="0074563B"/>
    <w:rsid w:val="00821719"/>
    <w:rsid w:val="00873065"/>
    <w:rsid w:val="00882674"/>
    <w:rsid w:val="008D0281"/>
    <w:rsid w:val="00931E9C"/>
    <w:rsid w:val="009F0322"/>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E83675"/>
    <w:rsid w:val="00F302E8"/>
    <w:rsid w:val="00F37177"/>
    <w:rsid w:val="00F464B9"/>
    <w:rsid w:val="00F727FC"/>
    <w:rsid w:val="0F494399"/>
    <w:rsid w:val="127A4469"/>
    <w:rsid w:val="2562332B"/>
    <w:rsid w:val="27BA1478"/>
    <w:rsid w:val="327260AD"/>
    <w:rsid w:val="34BA5916"/>
    <w:rsid w:val="35132D2F"/>
    <w:rsid w:val="4C3065A2"/>
    <w:rsid w:val="5FD438F8"/>
    <w:rsid w:val="66DC391B"/>
    <w:rsid w:val="74C70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67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675"/>
    <w:pPr>
      <w:ind w:firstLineChars="200" w:firstLine="420"/>
    </w:pPr>
  </w:style>
  <w:style w:type="paragraph" w:customStyle="1" w:styleId="paragraph">
    <w:name w:val="paragraph"/>
    <w:basedOn w:val="a"/>
    <w:qFormat/>
    <w:rsid w:val="00E8367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B0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082D"/>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2B082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082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50C48-6EBD-4AF1-BF6E-EFE4E230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cp:lastPrinted>2020-07-08T07:54:00Z</cp:lastPrinted>
  <dcterms:created xsi:type="dcterms:W3CDTF">2021-06-07T08:47:00Z</dcterms:created>
  <dcterms:modified xsi:type="dcterms:W3CDTF">2021-06-07T08:59:00Z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7850BC127B44491CB4AF2C0074ABE707</vt:lpwstr>
  </property>
</Properties>
</file>