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黑体" w:cs="Arial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  <w:lang w:val="en-US" w:eastAsia="zh-CN"/>
        </w:rPr>
        <w:t>2019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年部门整体</w:t>
      </w:r>
      <w:r>
        <w:rPr>
          <w:rFonts w:hint="eastAsia"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  <w:lang w:eastAsia="zh-CN"/>
        </w:rPr>
        <w:t>目标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填报单位：（盖章）</w:t>
      </w:r>
    </w:p>
    <w:tbl>
      <w:tblPr>
        <w:tblStyle w:val="3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987"/>
        <w:gridCol w:w="1113"/>
        <w:gridCol w:w="1952"/>
        <w:gridCol w:w="1498"/>
        <w:gridCol w:w="197"/>
        <w:gridCol w:w="43"/>
        <w:gridCol w:w="1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部门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773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衡东县自然资源局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年度预算申请（万元）</w:t>
            </w:r>
          </w:p>
        </w:tc>
        <w:tc>
          <w:tcPr>
            <w:tcW w:w="773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资金总额：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1331.38万元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405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按收入性质分：</w:t>
            </w:r>
          </w:p>
        </w:tc>
        <w:tc>
          <w:tcPr>
            <w:tcW w:w="367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按支出性质分：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52" w:type="dxa"/>
            <w:gridSpan w:val="3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其中：一般公共预算：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1331.38万元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其中：基本支出：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1131.38万元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52" w:type="dxa"/>
            <w:gridSpan w:val="3"/>
            <w:vAlign w:val="center"/>
          </w:tcPr>
          <w:p>
            <w:pPr>
              <w:ind w:firstLine="540" w:firstLineChars="3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政府性基金拨款：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ind w:firstLine="540" w:firstLineChars="3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52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纳入专户管理的非税收入拨款：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其他资金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部门职能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职责概述</w:t>
            </w:r>
          </w:p>
        </w:tc>
        <w:tc>
          <w:tcPr>
            <w:tcW w:w="7731" w:type="dxa"/>
            <w:gridSpan w:val="7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依法履行全民所有土地、矿产、森林、湿地、水等自然资源资产所有者职责和国土空间用途管制、城乡规划管理职责。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整体绩效目标</w:t>
            </w:r>
          </w:p>
        </w:tc>
        <w:tc>
          <w:tcPr>
            <w:tcW w:w="7731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通过预算执行，保证本单位工作的正常运转。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2. 通过地质灾害项目的实施，排除隐患，确保人民群众生命财产安全。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部门整体支出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年度绩效指标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rFonts w:hint="eastAsia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218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指标值及单位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1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本单位财政供养人员</w:t>
            </w:r>
          </w:p>
        </w:tc>
        <w:tc>
          <w:tcPr>
            <w:tcW w:w="24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在职人数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153</w:t>
            </w:r>
            <w:r>
              <w:rPr>
                <w:rFonts w:hint="eastAsia"/>
                <w:sz w:val="18"/>
                <w:szCs w:val="18"/>
              </w:rPr>
              <w:t>人，退休人员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部门单位履职、运转</w:t>
            </w:r>
          </w:p>
        </w:tc>
        <w:tc>
          <w:tcPr>
            <w:tcW w:w="21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予以保障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在职人员控制率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公用经费控制率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成本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严格按照预算执行本单位的人员经费支出和机关运行经费支出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1131.38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tabs>
                <w:tab w:val="left" w:pos="967"/>
              </w:tabs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ab/>
              <w:t>土地调查项目支出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地质灾害项目支出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时效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年度内及时完成县委、政府及局领导交办的各项任务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年度内及时完成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土地出让收入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3.06亿元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农业土地开发资金收入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耕地开垦费收入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采矿权出让收益收入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≌700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1.加强自然资源的保护和合理开发利用，实现整体保护、系统修复、综合治理。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2.自然资源统一确权登记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tabs>
                <w:tab w:val="left" w:pos="754"/>
              </w:tabs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3.排除地质灾害隐患，保证人民财产安全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4.为政府决策和经济发展提供保障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合理开发利用自然资源，改善自然资源生态系统</w:t>
            </w:r>
          </w:p>
        </w:tc>
        <w:tc>
          <w:tcPr>
            <w:tcW w:w="2181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4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社会公众或服务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对象满意度</w:t>
            </w: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受益群众满意度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填表人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: 夏娟        联系电话:5222463         填报日期:2019的4月17日         单位负责人签字:</w:t>
      </w:r>
    </w:p>
    <w:p/>
    <w:sectPr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249ADE"/>
    <w:multiLevelType w:val="singleLevel"/>
    <w:tmpl w:val="9B249AD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26C38"/>
    <w:rsid w:val="0717044C"/>
    <w:rsid w:val="076E386F"/>
    <w:rsid w:val="186C16C7"/>
    <w:rsid w:val="187F7B7C"/>
    <w:rsid w:val="25E26C38"/>
    <w:rsid w:val="4DBE5EA9"/>
    <w:rsid w:val="662F1D07"/>
    <w:rsid w:val="6C8F797A"/>
    <w:rsid w:val="6CBD1E1F"/>
    <w:rsid w:val="7195229D"/>
    <w:rsid w:val="71BD102D"/>
    <w:rsid w:val="7BF92C58"/>
    <w:rsid w:val="7E5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2021-04-25T01:45:00Z</dcterms:created>
  <dc:creator>Administrator</dc:creator>
  <cp:lastModifiedBy>Administrator</cp:lastModifiedBy>
  <cp:lastPrinted>2021-05-08T01:53:00Z</cp:lastPrinted>
  <dcterms:modified xsi:type="dcterms:W3CDTF">2021-06-07T07:23:54Z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7089030D5D65482C9F26FA8A8647C485</vt:lpwstr>
  </property>
</Properties>
</file>