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黑体"/>
          <w:kern w:val="0"/>
          <w:sz w:val="32"/>
          <w:szCs w:val="32"/>
        </w:rPr>
      </w:pPr>
      <w:r>
        <w:rPr>
          <w:rFonts w:hint="eastAsia" w:eastAsia="黑体"/>
          <w:kern w:val="0"/>
          <w:sz w:val="32"/>
          <w:szCs w:val="32"/>
        </w:rPr>
        <w:t>附件3</w:t>
      </w:r>
    </w:p>
    <w:p>
      <w:pPr>
        <w:spacing w:before="120" w:beforeLines="50"/>
        <w:jc w:val="center"/>
        <w:rPr>
          <w:rFonts w:ascii="宋体"/>
          <w:kern w:val="0"/>
          <w:sz w:val="32"/>
          <w:szCs w:val="32"/>
        </w:rPr>
      </w:pPr>
      <w:r>
        <w:rPr>
          <w:rFonts w:hint="eastAsia" w:ascii="宋体" w:hAnsi="宋体" w:cs="宋体"/>
          <w:b/>
          <w:bCs/>
          <w:kern w:val="0"/>
          <w:sz w:val="36"/>
          <w:szCs w:val="36"/>
        </w:rPr>
        <w:t>部门整体支出绩效目标申报表</w:t>
      </w:r>
      <w:r>
        <w:rPr>
          <w:rFonts w:ascii="宋体"/>
          <w:b/>
          <w:bCs/>
          <w:kern w:val="0"/>
          <w:sz w:val="36"/>
          <w:szCs w:val="36"/>
        </w:rPr>
        <w:br w:type="textWrapping"/>
      </w:r>
      <w:r>
        <w:rPr>
          <w:rFonts w:hint="eastAsia" w:ascii="宋体" w:hAnsi="宋体" w:cs="宋体"/>
          <w:kern w:val="0"/>
          <w:sz w:val="32"/>
          <w:szCs w:val="32"/>
        </w:rPr>
        <w:t>（</w:t>
      </w:r>
      <w:r>
        <w:rPr>
          <w:rFonts w:ascii="宋体" w:hAnsi="宋体" w:cs="宋体"/>
          <w:kern w:val="0"/>
          <w:sz w:val="32"/>
          <w:szCs w:val="32"/>
        </w:rPr>
        <w:t xml:space="preserve"> </w:t>
      </w:r>
      <w:r>
        <w:rPr>
          <w:rFonts w:hint="eastAsia" w:ascii="宋体" w:hAnsi="宋体" w:cs="宋体"/>
          <w:kern w:val="0"/>
          <w:sz w:val="32"/>
          <w:szCs w:val="32"/>
          <w:lang w:val="en-US" w:eastAsia="zh-CN"/>
        </w:rPr>
        <w:t>2019</w:t>
      </w:r>
      <w:r>
        <w:rPr>
          <w:rFonts w:ascii="宋体" w:hAnsi="宋体" w:cs="宋体"/>
          <w:kern w:val="0"/>
          <w:sz w:val="32"/>
          <w:szCs w:val="32"/>
        </w:rPr>
        <w:t xml:space="preserve"> </w:t>
      </w:r>
      <w:r>
        <w:rPr>
          <w:rFonts w:hint="eastAsia" w:ascii="宋体" w:hAnsi="宋体" w:cs="宋体"/>
          <w:kern w:val="0"/>
          <w:sz w:val="32"/>
          <w:szCs w:val="32"/>
        </w:rPr>
        <w:t>年度）</w:t>
      </w:r>
    </w:p>
    <w:p>
      <w:pPr>
        <w:spacing w:line="360" w:lineRule="auto"/>
        <w:ind w:left="-420" w:leftChars="-200"/>
        <w:rPr>
          <w:rFonts w:hint="eastAsia" w:ascii="仿宋" w:hAnsi="仿宋" w:eastAsia="仿宋" w:cs="仿宋"/>
          <w:kern w:val="0"/>
          <w:sz w:val="24"/>
          <w:szCs w:val="24"/>
        </w:rPr>
      </w:pPr>
      <w:r>
        <w:rPr>
          <w:rFonts w:hint="eastAsia" w:ascii="仿宋" w:hAnsi="仿宋" w:eastAsia="仿宋" w:cs="仿宋"/>
          <w:kern w:val="0"/>
          <w:sz w:val="24"/>
          <w:szCs w:val="24"/>
        </w:rPr>
        <w:t>填报单位（盖章）：</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单位负责人（签名）：</w:t>
      </w:r>
    </w:p>
    <w:tbl>
      <w:tblPr>
        <w:tblStyle w:val="3"/>
        <w:tblpPr w:leftFromText="180" w:rightFromText="180" w:vertAnchor="text" w:horzAnchor="page" w:tblpX="1242" w:tblpY="36"/>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17"/>
        <w:gridCol w:w="1104"/>
        <w:gridCol w:w="2897"/>
        <w:gridCol w:w="207"/>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部门名称</w:t>
            </w:r>
          </w:p>
        </w:tc>
        <w:tc>
          <w:tcPr>
            <w:tcW w:w="825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衡东县城乡居民医保中心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b/>
                <w:bCs/>
                <w:kern w:val="0"/>
                <w:sz w:val="24"/>
                <w:szCs w:val="24"/>
              </w:rPr>
            </w:pPr>
            <w:r>
              <w:rPr>
                <w:rFonts w:hint="eastAsia" w:ascii="仿宋" w:hAnsi="仿宋" w:eastAsia="仿宋" w:cs="仿宋"/>
                <w:b/>
                <w:bCs/>
                <w:kern w:val="0"/>
                <w:sz w:val="24"/>
                <w:szCs w:val="24"/>
              </w:rPr>
              <w:t>年度预算申请</w:t>
            </w:r>
            <w:r>
              <w:rPr>
                <w:rFonts w:hint="eastAsia" w:ascii="仿宋" w:hAnsi="仿宋" w:eastAsia="仿宋" w:cs="仿宋"/>
                <w:b/>
                <w:bCs/>
                <w:kern w:val="0"/>
                <w:sz w:val="24"/>
                <w:szCs w:val="24"/>
              </w:rPr>
              <w:br w:type="textWrapping"/>
            </w:r>
            <w:r>
              <w:rPr>
                <w:rFonts w:hint="eastAsia" w:ascii="仿宋" w:hAnsi="仿宋" w:eastAsia="仿宋" w:cs="仿宋"/>
                <w:b/>
                <w:bCs/>
                <w:kern w:val="0"/>
                <w:sz w:val="24"/>
                <w:szCs w:val="24"/>
              </w:rPr>
              <w:t>（万元）</w:t>
            </w:r>
          </w:p>
        </w:tc>
        <w:tc>
          <w:tcPr>
            <w:tcW w:w="825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资金总额：   </w:t>
            </w:r>
            <w:r>
              <w:rPr>
                <w:rFonts w:hint="eastAsia" w:ascii="仿宋" w:hAnsi="仿宋" w:eastAsia="仿宋" w:cs="仿宋"/>
                <w:kern w:val="0"/>
                <w:sz w:val="24"/>
                <w:szCs w:val="24"/>
                <w:lang w:val="en-US" w:eastAsia="zh-CN"/>
              </w:rPr>
              <w:t>437.12</w:t>
            </w:r>
            <w:r>
              <w:rPr>
                <w:rFonts w:hint="eastAsia" w:ascii="仿宋" w:hAnsi="仿宋" w:eastAsia="仿宋" w:cs="仿宋"/>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kern w:val="0"/>
                <w:sz w:val="24"/>
                <w:szCs w:val="24"/>
              </w:rPr>
            </w:pPr>
          </w:p>
        </w:tc>
        <w:tc>
          <w:tcPr>
            <w:tcW w:w="52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按收入性质分</w:t>
            </w:r>
          </w:p>
        </w:tc>
        <w:tc>
          <w:tcPr>
            <w:tcW w:w="30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kern w:val="0"/>
                <w:sz w:val="24"/>
                <w:szCs w:val="24"/>
              </w:rPr>
            </w:pPr>
          </w:p>
        </w:tc>
        <w:tc>
          <w:tcPr>
            <w:tcW w:w="52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其中：公共财政拨款：</w:t>
            </w:r>
            <w:r>
              <w:rPr>
                <w:rFonts w:hint="eastAsia" w:ascii="仿宋" w:hAnsi="仿宋" w:eastAsia="仿宋" w:cs="仿宋"/>
                <w:kern w:val="0"/>
                <w:sz w:val="24"/>
                <w:szCs w:val="24"/>
                <w:lang w:val="en-US" w:eastAsia="zh-CN"/>
              </w:rPr>
              <w:t>437.12</w:t>
            </w:r>
          </w:p>
          <w:p>
            <w:pPr>
              <w:widowControl/>
              <w:ind w:firstLine="720" w:firstLineChars="300"/>
              <w:jc w:val="left"/>
              <w:rPr>
                <w:rFonts w:hint="eastAsia" w:ascii="仿宋" w:hAnsi="仿宋" w:eastAsia="仿宋" w:cs="仿宋"/>
                <w:kern w:val="0"/>
                <w:sz w:val="24"/>
                <w:szCs w:val="24"/>
              </w:rPr>
            </w:pPr>
          </w:p>
        </w:tc>
        <w:tc>
          <w:tcPr>
            <w:tcW w:w="30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其中：</w:t>
            </w:r>
          </w:p>
          <w:p>
            <w:pPr>
              <w:widowControl/>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基本支出：</w:t>
            </w:r>
            <w:r>
              <w:rPr>
                <w:rFonts w:hint="eastAsia" w:ascii="仿宋" w:hAnsi="仿宋" w:eastAsia="仿宋" w:cs="仿宋"/>
                <w:kern w:val="0"/>
                <w:sz w:val="24"/>
                <w:szCs w:val="24"/>
                <w:lang w:val="en-US" w:eastAsia="zh-CN"/>
              </w:rPr>
              <w:t>309.12万元</w:t>
            </w:r>
          </w:p>
          <w:p>
            <w:pPr>
              <w:widowControl/>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项目支出：</w:t>
            </w:r>
            <w:r>
              <w:rPr>
                <w:rFonts w:hint="eastAsia" w:ascii="仿宋" w:hAnsi="仿宋" w:eastAsia="仿宋" w:cs="仿宋"/>
                <w:kern w:val="0"/>
                <w:sz w:val="24"/>
                <w:szCs w:val="24"/>
                <w:lang w:val="en-US" w:eastAsia="zh-CN"/>
              </w:rPr>
              <w:t>128万元</w:t>
            </w:r>
          </w:p>
          <w:p>
            <w:pPr>
              <w:widowControl/>
              <w:jc w:val="left"/>
              <w:rPr>
                <w:rFonts w:hint="eastAsia" w:ascii="仿宋" w:hAnsi="仿宋" w:eastAsia="仿宋" w:cs="仿宋"/>
                <w:kern w:val="0"/>
                <w:sz w:val="24"/>
                <w:szCs w:val="24"/>
              </w:rPr>
            </w:pPr>
          </w:p>
          <w:p>
            <w:pPr>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部门职能职责概述</w:t>
            </w:r>
          </w:p>
        </w:tc>
        <w:tc>
          <w:tcPr>
            <w:tcW w:w="8252" w:type="dxa"/>
            <w:gridSpan w:val="5"/>
            <w:tcBorders>
              <w:top w:val="single" w:color="auto" w:sz="4" w:space="0"/>
              <w:left w:val="single" w:color="auto" w:sz="4" w:space="0"/>
              <w:right w:val="single" w:color="auto" w:sz="4" w:space="0"/>
            </w:tcBorders>
            <w:noWrap w:val="0"/>
            <w:vAlign w:val="center"/>
          </w:tcPr>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1、贯彻执行国家、省、市、县有关医疗保险、生育保险、医疗救助(以下统称医疗保障)的法律法规和政策规定，拟订全县医疗保障相关政策、规划、标准、办法并组织实施。</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2、组织拟订并实施全县医疗保障基金监督管理办法，监督管理医疗保障基金。建立健全医疗保障基金安全防控机制，推进医疗保障基金支付方式改革。</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3、组织拟订并实施全县医疗保障筹资和待遇政策，完善动调整机制，统筹城乡医疗保障待遏标准，建立健全与筹资水平相适应的待遇调整机制。组织拟订并实施长期护理保险制度改革方榮。</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4、负责执行上级医疗保障部门制定的城乡统一的药品、医用耗材、医疗服务项目、医疗服务设施等医保目录和支付标准，配合上級医疗保障部门建立动态调整机制。</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5、负责执行上级医疗保障部门制定的药品、医用耗材价格和医疗服务、医疗服务设施收费政策;组织拟订由县級管理的药品、医用耗材价格和医疗服务项目、医疗服务设施收费政策;建立医保支付医药服务价格合理确定和动调整机劁，承担政府定价药品、医用耗材和医疗机构医疗服务、医疗服务设施的价格谈判、确定及管理工作，并参与药品和医用耗材的集中采购和医疗机构价格类別等級评定工作;推动建立市场主导的社会医药服务价格形成机制，建立价格信息监测和信息发布制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6、拟订全县药品、医用耗材的招标采购办法并监督实施，指导药品、医用耗材、医疗服务项目和医疗服务设施招标采购平台建设。</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7、组织制定全县定点医药机构协议和支付管理办法并实施，建立健全医疗保障信用评价体系和信息披露制度，建立健全定点医药服务考核评价机制和动态的准入退出机制，监督、管理纳入医保范围内的医疗服务行为和医疗费用，依法查处医疗保障领域违法违规行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8、负责县本级医疗保障经办管理、公共服务体系和信息化建设。指导和监督经办机构开展医疗保险、生育保险医疗救助等业务工作;组织拟订和完善异地就医管理和费用结算政策，建立健全医疗保障关系转移接续制度，参与和开展医疗保障领域国内外合作交流。</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9、负责完善统一的城乡居民基本医疗保险制度和大病保险制度，建立健全覆盖全民、城乡统筹的多层次医疗保障体系，不断提高医疗保障水平，确保医保资金合理使用、安全可控，推进医疗、医保、医药“三医联动”改革，更好保人民群众就医需求、减轻医药费用负担。</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10、加强与县卫生健康局等部门在医疗、医保、医药等方面的制度政策衔接，建立沟通协商机制，协同推进改革，提高医疗资源使用效率和医疗保障水平。</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11、负责本行业安全生产工作。</w:t>
            </w:r>
          </w:p>
          <w:p>
            <w:pPr>
              <w:pStyle w:val="2"/>
              <w:spacing w:line="24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12、完成县委、县政府和上级主管部门交办的其他任务。</w:t>
            </w:r>
          </w:p>
          <w:p>
            <w:pPr>
              <w:widowControl/>
              <w:numPr>
                <w:ilvl w:val="0"/>
                <w:numId w:val="0"/>
              </w:numPr>
              <w:jc w:val="both"/>
              <w:rPr>
                <w:rFonts w:hint="eastAsia"/>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年度总体目标</w:t>
            </w:r>
          </w:p>
        </w:tc>
        <w:tc>
          <w:tcPr>
            <w:tcW w:w="825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目标1：</w:t>
            </w:r>
            <w:r>
              <w:rPr>
                <w:rFonts w:hint="eastAsia" w:ascii="仿宋" w:hAnsi="仿宋" w:eastAsia="仿宋" w:cs="仿宋"/>
                <w:kern w:val="0"/>
                <w:sz w:val="24"/>
                <w:szCs w:val="24"/>
                <w:lang w:eastAsia="zh-CN"/>
              </w:rPr>
              <w:t>通过预算执行，保证正常工作运转。</w:t>
            </w:r>
          </w:p>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目标2：</w:t>
            </w:r>
            <w:r>
              <w:rPr>
                <w:rFonts w:hint="eastAsia" w:ascii="仿宋" w:hAnsi="仿宋" w:eastAsia="仿宋" w:cs="仿宋"/>
                <w:kern w:val="0"/>
                <w:sz w:val="24"/>
                <w:szCs w:val="24"/>
                <w:lang w:eastAsia="zh-CN"/>
              </w:rPr>
              <w:t>稳步提高保障水平，实现基金收支平衡，进一步规范基金支出。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部门整体支出</w:t>
            </w:r>
          </w:p>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年度绩效指标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一级指标</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二级指标</w:t>
            </w:r>
          </w:p>
        </w:tc>
        <w:tc>
          <w:tcPr>
            <w:tcW w:w="31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三级指标</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指标值</w:t>
            </w:r>
            <w:r>
              <w:rPr>
                <w:rFonts w:hint="eastAsia" w:ascii="仿宋" w:hAnsi="仿宋" w:eastAsia="仿宋" w:cs="仿宋"/>
                <w:kern w:val="0"/>
                <w:sz w:val="24"/>
                <w:szCs w:val="24"/>
                <w:lang w:eastAsia="zh-CN"/>
              </w:rPr>
              <w:t>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产出指标</w:t>
            </w:r>
          </w:p>
        </w:tc>
        <w:tc>
          <w:tcPr>
            <w:tcW w:w="110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数量指标</w:t>
            </w:r>
          </w:p>
        </w:tc>
        <w:tc>
          <w:tcPr>
            <w:tcW w:w="3104"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财政供养人员</w:t>
            </w: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部门单位履职、运转</w:t>
            </w: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全年监管定点医疗机构、诊所、药店个数</w:t>
            </w: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特殊人群财政及部门资助个人参保金额</w:t>
            </w: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全县医保参保率</w:t>
            </w: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宋体" w:hAnsi="宋体" w:eastAsia="宋体" w:cs="宋体"/>
                <w:kern w:val="0"/>
                <w:sz w:val="24"/>
                <w:szCs w:val="24"/>
                <w:lang w:val="en-US" w:eastAsia="zh-CN"/>
              </w:rPr>
              <w:t>≧</w:t>
            </w:r>
            <w:r>
              <w:rPr>
                <w:rFonts w:hint="eastAsia" w:ascii="仿宋" w:hAnsi="仿宋" w:eastAsia="仿宋" w:cs="仿宋"/>
                <w:kern w:val="0"/>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质量指标</w:t>
            </w:r>
          </w:p>
        </w:tc>
        <w:tc>
          <w:tcPr>
            <w:tcW w:w="3104"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在职人员控制率</w:t>
            </w:r>
          </w:p>
        </w:tc>
        <w:tc>
          <w:tcPr>
            <w:tcW w:w="282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宋体" w:hAnsi="宋体" w:eastAsia="宋体" w:cs="宋体"/>
                <w:kern w:val="0"/>
                <w:sz w:val="24"/>
                <w:szCs w:val="24"/>
                <w:lang w:val="en-US" w:eastAsia="zh-CN"/>
              </w:rPr>
              <w:t>≦</w:t>
            </w:r>
            <w:r>
              <w:rPr>
                <w:rFonts w:hint="eastAsia" w:ascii="仿宋" w:hAnsi="仿宋" w:eastAsia="仿宋" w:cs="仿宋"/>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公用经费控制率</w:t>
            </w:r>
          </w:p>
        </w:tc>
        <w:tc>
          <w:tcPr>
            <w:tcW w:w="282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宋体" w:hAnsi="宋体" w:eastAsia="宋体" w:cs="宋体"/>
                <w:kern w:val="0"/>
                <w:sz w:val="24"/>
                <w:szCs w:val="24"/>
                <w:lang w:val="en-US" w:eastAsia="zh-CN"/>
              </w:rPr>
              <w:t>≦</w:t>
            </w:r>
            <w:r>
              <w:rPr>
                <w:rFonts w:hint="eastAsia" w:ascii="仿宋" w:hAnsi="仿宋" w:eastAsia="仿宋" w:cs="仿宋"/>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打击欺诈骗保</w:t>
            </w:r>
          </w:p>
        </w:tc>
        <w:tc>
          <w:tcPr>
            <w:tcW w:w="282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推进医疗保障行业扶贫</w:t>
            </w:r>
          </w:p>
        </w:tc>
        <w:tc>
          <w:tcPr>
            <w:tcW w:w="282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特殊人群县内住院补偿率达到</w:t>
            </w:r>
            <w:r>
              <w:rPr>
                <w:rFonts w:hint="eastAsia" w:ascii="仿宋" w:hAnsi="仿宋" w:eastAsia="仿宋" w:cs="仿宋"/>
                <w:kern w:val="0"/>
                <w:sz w:val="24"/>
                <w:szCs w:val="24"/>
                <w:lang w:val="en-US" w:eastAsia="zh-CN"/>
              </w:rPr>
              <w:t>90%，县外住院补偿率达到82%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c>
          <w:tcPr>
            <w:tcW w:w="3104"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乡村建设、小康水平参保率</w:t>
            </w:r>
          </w:p>
        </w:tc>
        <w:tc>
          <w:tcPr>
            <w:tcW w:w="282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建档立卡人员参保率</w:t>
            </w:r>
            <w:r>
              <w:rPr>
                <w:rFonts w:hint="eastAsia" w:ascii="仿宋" w:hAnsi="仿宋" w:eastAsia="仿宋" w:cs="仿宋"/>
                <w:kern w:val="0"/>
                <w:sz w:val="24"/>
                <w:szCs w:val="24"/>
                <w:lang w:val="en-US" w:eastAsia="zh-CN"/>
              </w:rPr>
              <w:t>100%，全县参保率</w:t>
            </w:r>
            <w:r>
              <w:rPr>
                <w:rFonts w:hint="eastAsia" w:ascii="宋体" w:hAnsi="宋体" w:eastAsia="宋体" w:cs="宋体"/>
                <w:kern w:val="0"/>
                <w:sz w:val="24"/>
                <w:szCs w:val="24"/>
                <w:lang w:val="en-US" w:eastAsia="zh-CN"/>
              </w:rPr>
              <w:t>≧</w:t>
            </w:r>
            <w:r>
              <w:rPr>
                <w:rFonts w:hint="eastAsia" w:ascii="仿宋" w:hAnsi="仿宋" w:eastAsia="仿宋" w:cs="仿宋"/>
                <w:kern w:val="0"/>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时效指标</w:t>
            </w:r>
          </w:p>
        </w:tc>
        <w:tc>
          <w:tcPr>
            <w:tcW w:w="3104" w:type="dxa"/>
            <w:gridSpan w:val="2"/>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在年度内及时完成政府及上级领导交办的各项任务</w:t>
            </w:r>
          </w:p>
        </w:tc>
        <w:tc>
          <w:tcPr>
            <w:tcW w:w="2827"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年度内及时完成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成本指标</w:t>
            </w:r>
          </w:p>
        </w:tc>
        <w:tc>
          <w:tcPr>
            <w:tcW w:w="3104" w:type="dxa"/>
            <w:gridSpan w:val="2"/>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严格按预算执行</w:t>
            </w:r>
          </w:p>
        </w:tc>
        <w:tc>
          <w:tcPr>
            <w:tcW w:w="2827"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效益指标</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经济效益指标</w:t>
            </w:r>
          </w:p>
        </w:tc>
        <w:tc>
          <w:tcPr>
            <w:tcW w:w="3104"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eastAsia="zh-CN"/>
              </w:rPr>
              <w:t>通过完善基本医疗保险制度、大病保险制度及城乡医疗救助制度，满足广大人民日益增长的卫生服务需求</w:t>
            </w:r>
          </w:p>
        </w:tc>
        <w:tc>
          <w:tcPr>
            <w:tcW w:w="282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社会效益指标</w:t>
            </w:r>
          </w:p>
        </w:tc>
        <w:tc>
          <w:tcPr>
            <w:tcW w:w="3104"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促进县域内卫生健康事业发展及经济发展</w:t>
            </w:r>
          </w:p>
        </w:tc>
        <w:tc>
          <w:tcPr>
            <w:tcW w:w="282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p>
        </w:tc>
        <w:tc>
          <w:tcPr>
            <w:tcW w:w="12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r>
              <w:rPr>
                <w:rFonts w:hint="eastAsia" w:ascii="仿宋" w:hAnsi="仿宋" w:eastAsia="仿宋" w:cs="仿宋"/>
                <w:kern w:val="0"/>
                <w:sz w:val="24"/>
                <w:szCs w:val="24"/>
              </w:rPr>
              <w:t>可持续影响指标</w:t>
            </w:r>
          </w:p>
        </w:tc>
        <w:tc>
          <w:tcPr>
            <w:tcW w:w="3104" w:type="dxa"/>
            <w:gridSpan w:val="2"/>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促进县域经济发展，维护社会稳定</w:t>
            </w:r>
          </w:p>
        </w:tc>
        <w:tc>
          <w:tcPr>
            <w:tcW w:w="2827"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仿宋" w:hAnsi="仿宋" w:eastAsia="仿宋" w:cs="仿宋"/>
                <w:b/>
                <w:bCs/>
                <w:kern w:val="0"/>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满意度指标</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ind w:right="12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满意度指标</w:t>
            </w:r>
          </w:p>
        </w:tc>
        <w:tc>
          <w:tcPr>
            <w:tcW w:w="593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让社会公众及服务对象满意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财政部门 审核意见</w:t>
            </w:r>
          </w:p>
        </w:tc>
        <w:tc>
          <w:tcPr>
            <w:tcW w:w="825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120" w:lineRule="auto"/>
              <w:jc w:val="right"/>
              <w:textAlignment w:val="auto"/>
              <w:rPr>
                <w:rFonts w:hint="eastAsia" w:ascii="仿宋" w:hAnsi="仿宋" w:eastAsia="仿宋" w:cs="仿宋"/>
                <w:kern w:val="0"/>
                <w:sz w:val="24"/>
                <w:szCs w:val="24"/>
              </w:rPr>
            </w:pPr>
          </w:p>
          <w:p>
            <w:pPr>
              <w:keepNext w:val="0"/>
              <w:keepLines w:val="0"/>
              <w:pageBreakBefore w:val="0"/>
              <w:kinsoku/>
              <w:wordWrap/>
              <w:overflowPunct/>
              <w:topLinePunct w:val="0"/>
              <w:autoSpaceDE/>
              <w:autoSpaceDN/>
              <w:bidi w:val="0"/>
              <w:adjustRightInd/>
              <w:snapToGrid/>
              <w:spacing w:line="120" w:lineRule="auto"/>
              <w:jc w:val="right"/>
              <w:textAlignment w:val="auto"/>
              <w:rPr>
                <w:rFonts w:hint="eastAsia" w:ascii="仿宋" w:hAnsi="仿宋" w:eastAsia="仿宋" w:cs="仿宋"/>
                <w:kern w:val="0"/>
                <w:sz w:val="24"/>
                <w:szCs w:val="24"/>
              </w:rPr>
            </w:pPr>
          </w:p>
          <w:p>
            <w:pPr>
              <w:keepNext w:val="0"/>
              <w:keepLines w:val="0"/>
              <w:pageBreakBefore w:val="0"/>
              <w:kinsoku/>
              <w:wordWrap/>
              <w:overflowPunct/>
              <w:topLinePunct w:val="0"/>
              <w:autoSpaceDE/>
              <w:autoSpaceDN/>
              <w:bidi w:val="0"/>
              <w:adjustRightInd/>
              <w:snapToGrid/>
              <w:spacing w:line="120" w:lineRule="auto"/>
              <w:jc w:val="right"/>
              <w:textAlignment w:val="auto"/>
              <w:rPr>
                <w:rFonts w:hint="eastAsia" w:ascii="仿宋" w:hAnsi="仿宋" w:eastAsia="仿宋" w:cs="仿宋"/>
                <w:kern w:val="0"/>
                <w:sz w:val="24"/>
                <w:szCs w:val="24"/>
              </w:rPr>
            </w:pPr>
            <w:r>
              <w:rPr>
                <w:rFonts w:hint="eastAsia" w:ascii="仿宋" w:hAnsi="仿宋" w:eastAsia="仿宋" w:cs="仿宋"/>
                <w:kern w:val="0"/>
                <w:sz w:val="24"/>
                <w:szCs w:val="24"/>
              </w:rPr>
              <w:t>审核部门（签章）         年     月     日</w:t>
            </w:r>
          </w:p>
        </w:tc>
      </w:tr>
    </w:tbl>
    <w:p>
      <w:pPr>
        <w:keepNext w:val="0"/>
        <w:keepLines w:val="0"/>
        <w:pageBreakBefore w:val="0"/>
        <w:tabs>
          <w:tab w:val="left" w:pos="1875"/>
        </w:tabs>
        <w:kinsoku/>
        <w:wordWrap/>
        <w:overflowPunct/>
        <w:topLinePunct w:val="0"/>
        <w:autoSpaceDE/>
        <w:autoSpaceDN/>
        <w:bidi w:val="0"/>
        <w:adjustRightInd/>
        <w:snapToGrid/>
        <w:spacing w:line="120" w:lineRule="auto"/>
        <w:jc w:val="left"/>
        <w:textAlignment w:val="auto"/>
        <w:rPr>
          <w:rFonts w:hint="eastAsia" w:eastAsia="黑体"/>
          <w:kern w:val="0"/>
          <w:sz w:val="32"/>
          <w:szCs w:val="32"/>
        </w:rPr>
      </w:pPr>
      <w:r>
        <w:rPr>
          <w:rFonts w:hint="eastAsia" w:ascii="仿宋" w:hAnsi="仿宋" w:eastAsia="仿宋" w:cs="仿宋"/>
          <w:kern w:val="0"/>
          <w:sz w:val="24"/>
          <w:szCs w:val="24"/>
        </w:rPr>
        <w:t>填表人（签名）：</w:t>
      </w:r>
      <w:r>
        <w:rPr>
          <w:rFonts w:hint="eastAsia" w:ascii="仿宋" w:hAnsi="仿宋" w:eastAsia="仿宋" w:cs="仿宋"/>
          <w:kern w:val="0"/>
          <w:sz w:val="24"/>
          <w:szCs w:val="24"/>
          <w:lang w:eastAsia="zh-CN"/>
        </w:rPr>
        <w:t>袁洁琼</w:t>
      </w:r>
      <w:r>
        <w:rPr>
          <w:rFonts w:hint="eastAsia" w:ascii="仿宋" w:hAnsi="仿宋" w:eastAsia="仿宋" w:cs="仿宋"/>
          <w:kern w:val="0"/>
          <w:sz w:val="24"/>
          <w:szCs w:val="24"/>
        </w:rPr>
        <w:t xml:space="preserve">    联系电话：</w:t>
      </w:r>
      <w:r>
        <w:rPr>
          <w:rFonts w:hint="eastAsia" w:ascii="仿宋" w:hAnsi="仿宋" w:eastAsia="仿宋" w:cs="仿宋"/>
          <w:kern w:val="0"/>
          <w:sz w:val="24"/>
          <w:szCs w:val="24"/>
          <w:lang w:val="en-US" w:eastAsia="zh-CN"/>
        </w:rPr>
        <w:t>5186086</w:t>
      </w:r>
      <w:r>
        <w:rPr>
          <w:rFonts w:hint="eastAsia" w:ascii="仿宋" w:hAnsi="仿宋" w:eastAsia="仿宋" w:cs="仿宋"/>
          <w:kern w:val="0"/>
          <w:sz w:val="24"/>
          <w:szCs w:val="24"/>
        </w:rPr>
        <w:t xml:space="preserve">  填表日期：</w:t>
      </w:r>
      <w:r>
        <w:rPr>
          <w:rFonts w:hint="eastAsia" w:ascii="仿宋" w:hAnsi="仿宋" w:eastAsia="仿宋" w:cs="仿宋"/>
          <w:kern w:val="0"/>
          <w:sz w:val="24"/>
          <w:szCs w:val="24"/>
          <w:lang w:val="en-US" w:eastAsia="zh-CN"/>
        </w:rPr>
        <w:t>2019</w:t>
      </w:r>
      <w:r>
        <w:rPr>
          <w:rFonts w:hint="eastAsia" w:ascii="仿宋" w:hAnsi="仿宋" w:eastAsia="仿宋" w:cs="仿宋"/>
          <w:kern w:val="0"/>
          <w:sz w:val="24"/>
          <w:szCs w:val="24"/>
        </w:rPr>
        <w:t xml:space="preserve"> 年</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 xml:space="preserve"> 月</w:t>
      </w:r>
      <w:r>
        <w:rPr>
          <w:rFonts w:hint="eastAsia" w:ascii="仿宋" w:hAnsi="仿宋" w:eastAsia="仿宋" w:cs="仿宋"/>
          <w:kern w:val="0"/>
          <w:sz w:val="24"/>
          <w:szCs w:val="24"/>
          <w:lang w:val="en-US" w:eastAsia="zh-CN"/>
        </w:rPr>
        <w:t>20</w:t>
      </w:r>
      <w:bookmarkStart w:id="0" w:name="_GoBack"/>
      <w:bookmarkEnd w:id="0"/>
      <w:r>
        <w:rPr>
          <w:rFonts w:hint="eastAsia" w:ascii="仿宋" w:hAnsi="仿宋" w:eastAsia="仿宋" w:cs="仿宋"/>
          <w:kern w:val="0"/>
          <w:sz w:val="24"/>
          <w:szCs w:val="24"/>
        </w:rPr>
        <w:t xml:space="preserve">  </w:t>
      </w:r>
    </w:p>
    <w:p>
      <w:pPr>
        <w:keepNext w:val="0"/>
        <w:keepLines w:val="0"/>
        <w:pageBreakBefore w:val="0"/>
        <w:widowControl/>
        <w:tabs>
          <w:tab w:val="left" w:pos="2203"/>
          <w:tab w:val="left" w:pos="4145"/>
          <w:tab w:val="left" w:pos="5718"/>
          <w:tab w:val="left" w:pos="6938"/>
          <w:tab w:val="left" w:pos="8139"/>
        </w:tabs>
        <w:kinsoku/>
        <w:wordWrap/>
        <w:overflowPunct/>
        <w:topLinePunct w:val="0"/>
        <w:autoSpaceDE/>
        <w:autoSpaceDN/>
        <w:bidi w:val="0"/>
        <w:adjustRightInd/>
        <w:snapToGrid/>
        <w:spacing w:line="120" w:lineRule="auto"/>
        <w:ind w:left="93"/>
        <w:jc w:val="left"/>
        <w:textAlignment w:val="auto"/>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pPr>
        <w:widowControl/>
        <w:tabs>
          <w:tab w:val="left" w:pos="2203"/>
          <w:tab w:val="left" w:pos="4145"/>
          <w:tab w:val="left" w:pos="5718"/>
          <w:tab w:val="left" w:pos="6938"/>
          <w:tab w:val="left" w:pos="8139"/>
        </w:tabs>
        <w:spacing w:line="540" w:lineRule="exact"/>
        <w:ind w:left="93"/>
        <w:jc w:val="left"/>
        <w:rPr>
          <w:rFonts w:hint="eastAsia" w:eastAsia="黑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739B7"/>
    <w:rsid w:val="04EE56AB"/>
    <w:rsid w:val="05E830C9"/>
    <w:rsid w:val="070A61BC"/>
    <w:rsid w:val="0C6B3309"/>
    <w:rsid w:val="15AE5828"/>
    <w:rsid w:val="1C465128"/>
    <w:rsid w:val="1D3B5305"/>
    <w:rsid w:val="1DB32DF0"/>
    <w:rsid w:val="205F7D07"/>
    <w:rsid w:val="28C23C78"/>
    <w:rsid w:val="29F738A4"/>
    <w:rsid w:val="30C5615B"/>
    <w:rsid w:val="37730A8D"/>
    <w:rsid w:val="3A9C4DCA"/>
    <w:rsid w:val="3D1776CD"/>
    <w:rsid w:val="432B6E90"/>
    <w:rsid w:val="441B11AC"/>
    <w:rsid w:val="477E589A"/>
    <w:rsid w:val="47D739B7"/>
    <w:rsid w:val="4BF82E31"/>
    <w:rsid w:val="5326186E"/>
    <w:rsid w:val="551B2976"/>
    <w:rsid w:val="59495CAC"/>
    <w:rsid w:val="5E7D7412"/>
    <w:rsid w:val="5F0D2891"/>
    <w:rsid w:val="6A427925"/>
    <w:rsid w:val="6EE31BB0"/>
    <w:rsid w:val="74B7552A"/>
    <w:rsid w:val="74F456D4"/>
    <w:rsid w:val="7E380BD4"/>
    <w:rsid w:val="7EAC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2019-12-01T09:09:00Z</dcterms:created>
  <dc:creator>Administrator</dc:creator>
  <cp:lastModifiedBy>y_2</cp:lastModifiedBy>
  <dcterms:modified xsi:type="dcterms:W3CDTF">2021-06-07T02:01:04Z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92947E47A7F3461096B0BAFA8655090E</vt:lpwstr>
  </property>
</Properties>
</file>