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84"/>
          <w:szCs w:val="84"/>
        </w:rPr>
      </w:pPr>
    </w:p>
    <w:p>
      <w:pPr>
        <w:pStyle w:val="10"/>
        <w:jc w:val="center"/>
        <w:rPr>
          <w:sz w:val="84"/>
          <w:szCs w:val="84"/>
        </w:rPr>
      </w:pPr>
    </w:p>
    <w:p>
      <w:pPr>
        <w:pStyle w:val="10"/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</w:rPr>
        <w:t>2019年度</w:t>
      </w:r>
      <w:r>
        <w:rPr>
          <w:rFonts w:hint="eastAsia"/>
          <w:sz w:val="84"/>
          <w:szCs w:val="84"/>
          <w:lang w:val="en-US" w:eastAsia="zh-CN"/>
        </w:rPr>
        <w:t>石湾镇人民政府</w:t>
      </w: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单位部门决算</w:t>
      </w: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center"/>
        <w:rPr>
          <w:sz w:val="56"/>
          <w:szCs w:val="56"/>
        </w:rPr>
      </w:pPr>
    </w:p>
    <w:p>
      <w:pPr>
        <w:pStyle w:val="10"/>
        <w:jc w:val="both"/>
        <w:rPr>
          <w:sz w:val="56"/>
          <w:szCs w:val="56"/>
        </w:rPr>
      </w:pPr>
    </w:p>
    <w:p>
      <w:pPr>
        <w:pStyle w:val="10"/>
        <w:spacing w:line="540" w:lineRule="exact"/>
        <w:jc w:val="center"/>
        <w:rPr>
          <w:sz w:val="56"/>
          <w:szCs w:val="56"/>
        </w:rPr>
      </w:pPr>
    </w:p>
    <w:p>
      <w:pPr>
        <w:pStyle w:val="10"/>
        <w:spacing w:line="520" w:lineRule="exact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目录</w:t>
      </w:r>
    </w:p>
    <w:p>
      <w:pPr>
        <w:pStyle w:val="10"/>
        <w:spacing w:line="52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石湾镇人民政府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</w:p>
    <w:p>
      <w:pPr>
        <w:pStyle w:val="10"/>
        <w:spacing w:line="52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</w:t>
      </w:r>
      <w:r>
        <w:rPr>
          <w:rFonts w:hAnsi="仿宋_GB2312"/>
          <w:b/>
          <w:sz w:val="28"/>
          <w:szCs w:val="28"/>
        </w:rPr>
        <w:t>2019</w:t>
      </w:r>
      <w:r>
        <w:rPr>
          <w:rFonts w:hint="eastAsia" w:hAnsi="仿宋_GB2312"/>
          <w:b/>
          <w:sz w:val="28"/>
          <w:szCs w:val="28"/>
        </w:rPr>
        <w:t>年度部门决算情况说明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spacing w:line="520" w:lineRule="exact"/>
        <w:ind w:firstLine="700" w:firstLineChars="25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、预算绩效情况说明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、其他重要事项情况说明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部分名词解释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部分附件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Ansi="仿宋_GB2312"/>
          <w:b/>
          <w:sz w:val="28"/>
          <w:szCs w:val="28"/>
        </w:rPr>
        <w:t>2019</w:t>
      </w:r>
      <w:r>
        <w:rPr>
          <w:rFonts w:hint="eastAsia" w:hAnsi="仿宋_GB2312"/>
          <w:b/>
          <w:sz w:val="28"/>
          <w:szCs w:val="28"/>
        </w:rPr>
        <w:t>年度部门决算表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10"/>
        <w:jc w:val="center"/>
        <w:rPr>
          <w:sz w:val="84"/>
          <w:szCs w:val="84"/>
        </w:rPr>
      </w:pPr>
    </w:p>
    <w:p>
      <w:pPr>
        <w:pStyle w:val="10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石湾镇人民政府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1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本单位主要职能是：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根据国家有关法律法规，党委、政府通过组织群众、宣传群众、教育群众、服务群众，切实贯彻落实党和国家在农村的各项方针政策和法律法规，围绕农业、农村、农民搞好服务，全面履行和承担五项职能：一是促进经济发展，增加农民收入；二是强化公共服务，着力改善民生；三是加强社会管理，维护农村稳定；四是推进基层民主，促进农村和谐;五是加强基层党建，巩固基层政权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（一）宣传贯彻落实法律法规和党的各项方针政策，坚持依法行政，推进民主政治发展，促进村民自治，加强基层党组织和政权建设。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二）促进经济发展，增加农民收入。负责镇村发展规划，培育主导产业，推动产业结构调整，加快旅游开发进程，提高农业综合生产能力。建立新型农业社会化服务体系，发展农民专业合作组织，提高农产品质量安全水平。稳定和完善农村基本经营制度，探索集体经济有效实现形式，引导农民珍惜土地、增加投入，发展集约经营。加强农村基础设施建设和新型农村服务体系建设，落实强农惠农措施，确保农民受益。促进民营经济发展，引导农民多渠道转移就业，增加农民收入，不断提高人民生活水平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三）强化公共服务，着力改善民生。拓宽服务渠道，改进服务方式，通过“一站式”服务等多种形式，形成管理有序、服务完善、文明祥和的社会生活共同体。落实计划生育基本国策，推进优生优育，保持人口适度增长，保护妇女、儿童和老人的合法权益。促进农村义务教育均衡发展，推动农村公共卫生体系和基本医疗体系建设，丰富农民群众文化生活，发展农村体育事业，培养社会主义新型农民。做好防灾减灾、五保供养、优抚安置、低保、扶贫救济、社会保险和其他社会救助工作。发展农村老龄服务。加强农村残疾预防和残疾人康复工作。组织开展农村基础设施建设，完善农民生产生活条件。做好外出务工人员技能培训等服务工作，促进城乡劳动者平等就业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四）加强社会管理，维护农村稳定。推进依法行政，严格依法履行职责。加强民主法制宣传教育。加强社会治安综合治理，完善农村治安防控体系，保障人民生命财产安全。做好农村信访工作，畅通诉求渠道，及时掌握社情民意，排查化解矛盾纠纷，妥善处理人民内部矛盾。建立健全农村应急管理体制，提高危机处置能力。依法管理宗教事务，反对和制止利用宗教和宗教势力干预农村公共事务。承担安全生产、环境保护工作，协助县级有关部门做好市场监管、劳动监察等方面的工作,保证社会公正，维护社会秩序和社会稳定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五）推动基层民主，促进农村和谐。健全以村（社区）党组织为核心的村民自治机制，加强对村民委员会工作的指导。健全村级民主选举、民主决策、民主管理、民主监督制度，全面推行村民代表议事制度，健全和完善村民自治章程和村规民约。规范和完善村账镇代管工作，推进村务公开、财务公开，引导农民有序参与村级事务管理。推动农村社区建设，促进社会组织健康发展，增强社会自治功能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六）强化基层党建，巩固基层政权。加强农村党的基层组织建设、农村基层干部队伍建设、农村党员队伍建设，发挥基层党组织的战斗堡垒作用和党员的先锋模范作用。严格党组织生活，加强后备力量培养，抓好党员发展教育管理。加强农村党风廉政建设，推进农村惩治和预防腐败建设。加强党管武装工作。加强和改进对工会、共青团和妇联等群团工作的领导，推动党群共建。按照干部管理权限，负责干部的教育、培养、选拔和监督工作，协助管理上级有关单位的驻镇干部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（七）完成上级交办的其他工作任务。</w:t>
      </w: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rPr>
          <w:rFonts w:hint="eastAsia"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（一）内设机构设置。</w:t>
      </w:r>
    </w:p>
    <w:p>
      <w:pPr>
        <w:widowControl/>
        <w:spacing w:line="600" w:lineRule="exact"/>
        <w:ind w:firstLine="320" w:firstLineChars="100"/>
        <w:rPr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本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单位内设机构包括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党政综合办公室、经济发展办公室、社会事务办公室、自然资源和生态环境办公室、社会治安综合治理和应急管理办公室、基层党建工作办公室、社会事业综合服务中心、退役军人服务站、农业综合服务中心、政务服务中心、综合行政执法大队、财政所等部门。</w:t>
      </w: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val="en-US" w:eastAsia="zh-CN"/>
        </w:rPr>
        <w:t>本单位部门决算为本级决算。</w:t>
      </w:r>
      <w:bookmarkStart w:id="0" w:name="_GoBack"/>
      <w:bookmarkEnd w:id="0"/>
    </w:p>
    <w:p>
      <w:pPr>
        <w:widowControl/>
        <w:numPr>
          <w:ilvl w:val="0"/>
          <w:numId w:val="2"/>
        </w:numPr>
        <w:spacing w:line="600" w:lineRule="exact"/>
        <w:rPr>
          <w:rFonts w:hint="eastAsia"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决算单位构成。</w:t>
      </w:r>
    </w:p>
    <w:p>
      <w:pPr>
        <w:widowControl/>
        <w:spacing w:line="600" w:lineRule="exact"/>
        <w:ind w:firstLine="640" w:firstLineChars="200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纳入本单位决算编制范围的包括：党政综合办公室、经济发展办公室、社会事务办公室、自然资源和生态环境办公室、社会治安综合治理和应急管理办公室、基层党建工作办公室、社会事业综合服务中心、退役军人服务站、农业综合服务中心、政务服务中心、综合行政执法大队、财政所，以上部门一并进行决算公开。</w:t>
      </w:r>
    </w:p>
    <w:p>
      <w:pPr>
        <w:jc w:val="left"/>
        <w:rPr>
          <w:rFonts w:ascii="仿宋_GB2312" w:eastAsia="仿宋_GB2312" w:hAnsiTheme="minorEastAsia"/>
          <w:sz w:val="28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pStyle w:val="10"/>
        <w:rPr>
          <w:sz w:val="72"/>
          <w:szCs w:val="7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0"/>
        <w:rPr>
          <w:sz w:val="72"/>
          <w:szCs w:val="72"/>
        </w:rPr>
      </w:pPr>
    </w:p>
    <w:p>
      <w:pPr>
        <w:pStyle w:val="10"/>
        <w:rPr>
          <w:sz w:val="72"/>
          <w:szCs w:val="72"/>
        </w:rPr>
      </w:pPr>
    </w:p>
    <w:p>
      <w:pPr>
        <w:pStyle w:val="10"/>
        <w:rPr>
          <w:sz w:val="72"/>
          <w:szCs w:val="72"/>
        </w:rPr>
      </w:pPr>
    </w:p>
    <w:p>
      <w:pPr>
        <w:pStyle w:val="10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</w:t>
      </w:r>
      <w:r>
        <w:rPr>
          <w:rFonts w:hint="eastAsia"/>
          <w:sz w:val="72"/>
          <w:szCs w:val="72"/>
          <w:lang w:val="en-US" w:eastAsia="zh-CN"/>
        </w:rPr>
        <w:t>二</w:t>
      </w:r>
      <w:r>
        <w:rPr>
          <w:rFonts w:hint="eastAsia"/>
          <w:sz w:val="72"/>
          <w:szCs w:val="72"/>
        </w:rPr>
        <w:t>部分</w:t>
      </w:r>
    </w:p>
    <w:p>
      <w:pPr>
        <w:pStyle w:val="10"/>
        <w:jc w:val="center"/>
        <w:rPr>
          <w:sz w:val="70"/>
          <w:szCs w:val="70"/>
        </w:rPr>
      </w:pPr>
    </w:p>
    <w:p>
      <w:pPr>
        <w:pStyle w:val="10"/>
        <w:jc w:val="center"/>
        <w:rPr>
          <w:sz w:val="70"/>
          <w:szCs w:val="70"/>
        </w:rPr>
      </w:pPr>
      <w:r>
        <w:rPr>
          <w:sz w:val="70"/>
          <w:szCs w:val="70"/>
        </w:rPr>
        <w:t>2019</w:t>
      </w:r>
      <w:r>
        <w:rPr>
          <w:rFonts w:hint="eastAsia"/>
          <w:sz w:val="70"/>
          <w:szCs w:val="70"/>
        </w:rPr>
        <w:t>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1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 年度收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入总计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1699.36万元，</w:t>
      </w:r>
      <w:r>
        <w:rPr>
          <w:rFonts w:hint="eastAsia" w:asciiTheme="minorEastAsia" w:hAnsiTheme="minorEastAsia" w:eastAsiaTheme="minorEastAsia"/>
          <w:sz w:val="32"/>
          <w:szCs w:val="32"/>
        </w:rPr>
        <w:t>与2018年相比，增加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36.48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2.19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。支出</w:t>
      </w:r>
      <w:r>
        <w:rPr>
          <w:rFonts w:hint="eastAsia" w:asciiTheme="minorEastAsia" w:hAnsiTheme="minorEastAsia" w:eastAsiaTheme="minorEastAsia"/>
          <w:sz w:val="32"/>
          <w:szCs w:val="32"/>
        </w:rPr>
        <w:t>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1667.61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万元。与2018年相比，减少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170.81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9.29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人员减少。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1699.36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1620.19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95.34</w:t>
      </w:r>
      <w:r>
        <w:rPr>
          <w:rFonts w:hint="eastAsia" w:asciiTheme="minorEastAsia" w:hAnsiTheme="minorEastAsia" w:eastAsiaTheme="minorEastAsia"/>
          <w:sz w:val="32"/>
          <w:szCs w:val="32"/>
        </w:rPr>
        <w:t>%；上级补助收入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%；事业收入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%；附属单位上缴收入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%；其他收入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79.17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4.66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1667.61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1319.43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79.12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348.18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20.88</w:t>
      </w:r>
      <w:r>
        <w:rPr>
          <w:rFonts w:hint="eastAsia" w:asciiTheme="minorEastAsia" w:hAnsiTheme="minorEastAsia" w:eastAsiaTheme="minorEastAsia"/>
          <w:sz w:val="32"/>
          <w:szCs w:val="32"/>
        </w:rPr>
        <w:t>%；上缴上级支出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%；对附属单位补助支出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1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2019年度财政拨款收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入</w:t>
      </w:r>
      <w:r>
        <w:rPr>
          <w:rFonts w:hint="eastAsia" w:asciiTheme="minorEastAsia" w:hAnsiTheme="minorEastAsia" w:eastAsiaTheme="minorEastAsia"/>
          <w:sz w:val="32"/>
          <w:szCs w:val="32"/>
        </w:rPr>
        <w:t>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1620.19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万元，与2018年相比，增加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141.58</w:t>
      </w:r>
      <w:r>
        <w:rPr>
          <w:rFonts w:hint="eastAsia" w:asciiTheme="minorEastAsia" w:hAnsiTheme="minorEastAsia" w:eastAsiaTheme="minorEastAsia"/>
          <w:sz w:val="32"/>
          <w:szCs w:val="32"/>
        </w:rPr>
        <w:t>万元,增长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9.57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工资上调导致人员经费增加。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1553.19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93.14</w:t>
      </w:r>
      <w:r>
        <w:rPr>
          <w:rFonts w:hint="eastAsia" w:asciiTheme="minorEastAsia" w:hAnsiTheme="minorEastAsia" w:eastAsiaTheme="minorEastAsia"/>
          <w:sz w:val="32"/>
          <w:szCs w:val="32"/>
        </w:rPr>
        <w:t>%，与2018年相比，财政拨款支出增加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82.57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5.61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调资导致人员经费增加。</w:t>
      </w:r>
    </w:p>
    <w:p>
      <w:pPr>
        <w:pStyle w:val="10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10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1553.19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万元，主要用于以下方面：一般公共服务（类）支出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699.32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45.02</w:t>
      </w:r>
      <w:r>
        <w:rPr>
          <w:rFonts w:hint="eastAsia" w:asciiTheme="minorEastAsia" w:hAnsiTheme="minorEastAsia" w:eastAsiaTheme="minorEastAsia"/>
          <w:sz w:val="32"/>
          <w:szCs w:val="32"/>
        </w:rPr>
        <w:t>%；文化旅游体育与传媒支出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15.06万元，占0.97%；社会保障和就业支出120.57万元，</w:t>
      </w:r>
      <w:r>
        <w:rPr>
          <w:rFonts w:hint="eastAsia" w:asciiTheme="minorEastAsia" w:hAnsiTheme="minorEastAsia" w:eastAsiaTheme="minorEastAsia"/>
          <w:sz w:val="32"/>
          <w:szCs w:val="32"/>
        </w:rPr>
        <w:t>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7.76%；卫生健康支出24.15万元，占1.56%；节能环保支出48.03万元，占3.09%；城乡社区支出5.48万元，占0.35%；交通运输支出0.72万元，占0.05%；农林水支出502.36万元，占32.34%。资源勘探信息等支出30万元，占1.93%；自然资源海洋气象等支出15.25万元，占0.98%；灾害防治及应急管理支出92.25万元，占5.95%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2019年度财政拨款支出年初预算数为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1132.99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1553.19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137.09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%，其中：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1、一般公共服务（类）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人大事务（款）行政运行（项）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12.05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12.05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2、一般公共服务（类）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政协事务（款）行政运行（项）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5.09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5.09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政府办公厅（室）及相关机构事务（款）行政运行（项）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490.38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548.93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111.94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由于政府业务增加，增加新进人员，行政运行支出增加。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政府办公厅（室）及相关机构事务（款）一般行政管理事务（项）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预算调整增加指标。</w:t>
      </w:r>
    </w:p>
    <w:p>
      <w:pPr>
        <w:pStyle w:val="10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财政事务（款）行政运行（项）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51.68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51.68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财政事务（款）一般行政管理事务（项）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6.54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24.3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371.56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由于财政业务增加，预算调整增加指标。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财政事务（款）其他财政事务支出（项）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由于财政业务增加，预算调整增加指标。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党委办公厅（室）及相关机构事务（款）行政运行（项）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32.27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32.27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其他一般公共服务支出（款） 其他一般公共服务支出（项）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由于政府公共服务业务增加，预算调整增加指标。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文化旅游体育与传媒支出（类）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文化和旅游（款）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5.02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5.02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文化旅游体育与传媒支出（类）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广播电视（款）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10.04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10.04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人力资源和社会保障管理事务（款）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13.49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13.49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人力资源和社会保障管理事务（款）  其他人力资源和社会保障管理事务支出（项）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29.86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行政事业单位离退休（款）机关事业单位基本养老保险缴费支出（项）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75.22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75.22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残疾人事业（款） 其他残疾人事业支出（项）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卫生健康支出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卫生健康管理事务（款）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19.35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19.35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卫生健康支出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卫生健康管理事务（款）其他计划生育事务支出（项）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收入返还，预算调整增加指标。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卫生健康支出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优抚对象医疗（款）优抚对象医疗补助（项）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0.8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0.8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节能环保支出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自然生态保护（款）  农村环境保护（项）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48.3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环境整治调整预算，增加指标。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城乡社区支出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城乡社区管理事务（款） 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5.48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5.48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农业（款）行政运行（项）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106.2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106.2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农业（款）农村公益事业（项）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27.75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农村公益事业调整预算，增加指标。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农业（款）  其他农业支出（项）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林业和草原（款） 其他农业支出（项）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8.89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8.89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农村综合改革（款） 对村民委员会和村党支部的补助（项）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274.52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274.52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农村综合改革（款） 对村集体经济组织的补助（项）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农村综合改革（款） 其他农林水支出（项）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40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交通运输支出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公路水路运输（款）行政运行（项）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0.72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0.72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资源勘探信息等支出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其他资源勘探信息等支出（款）其他资源勘探信息等支出（项）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自然资源海洋气象等支出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自然资源事务（款）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15.25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15.25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灾害防治及应急管理支出（类）应急管理事务（款）  应急救援（项）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调整预算，增加应急救援指标。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灾害防治及应急管理支出（类）自然灾害救灾及恢复重建支出（款）   中央自然灾害生活补助（项）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33.25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洪涝灾害，调整预算，增加中央自然灾害生活补助指标。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灾害防治及应急管理支出（类）自然灾害救灾及恢复重建支出（款）     地方自然灾害生活补助（项）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default" w:asciiTheme="minorEastAsia" w:hAnsiTheme="minorEastAsia" w:eastAsia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洪涝灾害，调整预算，增加指标。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1319.43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1101.63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83.49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%,主要包括基本工资、津贴补贴、奖金、伙食补助费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、绩效工资、机关事业单位基本养老保险缴费、职工基本医疗保险缴费、其他社会保障缴费、住房公积金、医疗费补助、其他对个人和家庭的补助。</w:t>
      </w:r>
      <w:r>
        <w:rPr>
          <w:rFonts w:hint="eastAsia" w:asciiTheme="minorEastAsia" w:hAnsiTheme="minorEastAsia" w:eastAsiaTheme="minorEastAsia"/>
          <w:sz w:val="32"/>
          <w:szCs w:val="32"/>
        </w:rPr>
        <w:t>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217.8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16.51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%，主要包括办公费、印刷费、咨询费、手续费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、电费、租赁费、会议费、公务接待费、专用燃料费、工会经费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七、一般公共预算财政拨款三公经费支出决算情况说明</w:t>
      </w:r>
    </w:p>
    <w:p>
      <w:pPr>
        <w:pStyle w:val="1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11.09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73.93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因公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出入（境）</w:t>
      </w:r>
      <w:r>
        <w:rPr>
          <w:rFonts w:hint="eastAsia" w:asciiTheme="minorEastAsia" w:hAnsiTheme="minorEastAsia" w:eastAsiaTheme="minorEastAsia"/>
          <w:sz w:val="32"/>
          <w:szCs w:val="32"/>
        </w:rPr>
        <w:t>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78.85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小于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年初预算数的主要原因是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积极实行上级政策，压缩开支。</w:t>
      </w:r>
      <w:r>
        <w:rPr>
          <w:rFonts w:hint="eastAsia" w:asciiTheme="minorEastAsia" w:hAnsiTheme="minorEastAsia" w:eastAsiaTheme="minorEastAsia"/>
          <w:sz w:val="32"/>
          <w:szCs w:val="32"/>
        </w:rPr>
        <w:t>与上年相比减少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3.48</w:t>
      </w:r>
      <w:r>
        <w:rPr>
          <w:rFonts w:hint="eastAsia" w:asciiTheme="minorEastAsia" w:hAnsiTheme="minorEastAsia" w:eastAsiaTheme="minorEastAsia"/>
          <w:sz w:val="32"/>
          <w:szCs w:val="32"/>
        </w:rPr>
        <w:t>%,减少的主要原因是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积极实行上级政策，压缩开支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公务用车购置费及运行维护费支出预算为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0.84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42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积极实行上级政策，压缩开支</w:t>
      </w:r>
      <w:r>
        <w:rPr>
          <w:rFonts w:hint="eastAsia" w:asciiTheme="minorEastAsia" w:hAnsiTheme="minorEastAsia" w:eastAsiaTheme="minorEastAsia"/>
          <w:sz w:val="32"/>
          <w:szCs w:val="32"/>
        </w:rPr>
        <w:t>，与上年相比增加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0.46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121.05</w:t>
      </w:r>
      <w:r>
        <w:rPr>
          <w:rFonts w:hint="eastAsia" w:asciiTheme="minorEastAsia" w:hAnsiTheme="minorEastAsia" w:eastAsiaTheme="minorEastAsia"/>
          <w:sz w:val="32"/>
          <w:szCs w:val="32"/>
        </w:rPr>
        <w:t>%,增长的主要原因是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公务用车次数增加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92.43</w:t>
      </w:r>
      <w:r>
        <w:rPr>
          <w:rFonts w:hint="eastAsia" w:asciiTheme="minorEastAsia" w:hAnsiTheme="minorEastAsia" w:eastAsiaTheme="minorEastAsia"/>
          <w:sz w:val="32"/>
          <w:szCs w:val="32"/>
        </w:rPr>
        <w:t>%,因公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出入（境）</w:t>
      </w:r>
      <w:r>
        <w:rPr>
          <w:rFonts w:hint="eastAsia" w:asciiTheme="minorEastAsia" w:hAnsiTheme="minorEastAsia" w:eastAsiaTheme="minorEastAsia"/>
          <w:sz w:val="32"/>
          <w:szCs w:val="32"/>
        </w:rPr>
        <w:t>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0.84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7.57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1、因公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出入（境）</w:t>
      </w:r>
      <w:r>
        <w:rPr>
          <w:rFonts w:hint="eastAsia" w:asciiTheme="minorEastAsia" w:hAnsiTheme="minorEastAsia" w:eastAsiaTheme="minorEastAsia"/>
          <w:sz w:val="32"/>
          <w:szCs w:val="32"/>
        </w:rPr>
        <w:t>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全年共接待来访团组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512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3658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人次</w:t>
      </w:r>
      <w:r>
        <w:rPr>
          <w:rFonts w:hint="eastAsia" w:asciiTheme="minorEastAsia" w:hAnsiTheme="minorEastAsia" w:eastAsiaTheme="minorEastAsia"/>
          <w:sz w:val="32"/>
          <w:szCs w:val="32"/>
        </w:rPr>
        <w:t>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上级单位来本镇调研</w:t>
      </w:r>
      <w:r>
        <w:rPr>
          <w:rFonts w:hint="eastAsia" w:asciiTheme="minorEastAsia" w:hAnsiTheme="minorEastAsia" w:eastAsiaTheme="minorEastAsia"/>
          <w:sz w:val="32"/>
          <w:szCs w:val="32"/>
        </w:rPr>
        <w:t>发生的接待支出。</w:t>
      </w:r>
    </w:p>
    <w:p>
      <w:pPr>
        <w:ind w:firstLine="800" w:firstLineChars="250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0.84</w:t>
      </w:r>
      <w:r>
        <w:rPr>
          <w:rFonts w:hint="eastAsia" w:asciiTheme="minorEastAsia" w:hAnsiTheme="minorEastAsia"/>
          <w:sz w:val="32"/>
          <w:szCs w:val="32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</w:rPr>
        <w:t>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0.84</w:t>
      </w:r>
      <w:r>
        <w:rPr>
          <w:rFonts w:hint="eastAsia" w:asciiTheme="minorEastAsia" w:hAnsiTheme="minorEastAsia"/>
          <w:sz w:val="32"/>
          <w:szCs w:val="32"/>
        </w:rPr>
        <w:t>万元，主要是</w:t>
      </w:r>
      <w:r>
        <w:rPr>
          <w:rFonts w:hint="eastAsia" w:asciiTheme="minorEastAsia" w:hAnsiTheme="minorEastAsia"/>
          <w:sz w:val="32"/>
          <w:szCs w:val="32"/>
          <w:lang w:eastAsia="zh-CN"/>
        </w:rPr>
        <w:t>公车油费</w:t>
      </w:r>
      <w:r>
        <w:rPr>
          <w:rFonts w:hint="eastAsia" w:asciiTheme="minorEastAsia" w:hAnsiTheme="minorEastAsia"/>
          <w:sz w:val="32"/>
          <w:szCs w:val="32"/>
        </w:rPr>
        <w:t>支出，截止2019年12月31日，我单位开支财政拨款的公务用车保有量为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辆。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1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2019年度政府性基金预算财政拨款收入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万元；年初结转和结余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117.92</w:t>
      </w:r>
      <w:r>
        <w:rPr>
          <w:rFonts w:hint="eastAsia" w:asciiTheme="minorEastAsia" w:hAnsiTheme="minorEastAsia" w:eastAsiaTheme="minorEastAsia"/>
          <w:sz w:val="32"/>
          <w:szCs w:val="32"/>
        </w:rPr>
        <w:t>万元；支出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万元；年末结转和结余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117.92</w:t>
      </w:r>
      <w:r>
        <w:rPr>
          <w:rFonts w:hint="eastAsia" w:asciiTheme="minorEastAsia" w:hAnsiTheme="minorEastAsia" w:eastAsiaTheme="minorEastAsia"/>
          <w:sz w:val="32"/>
          <w:szCs w:val="32"/>
        </w:rPr>
        <w:t>万元。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九、关于2019年度预算绩效情况说明</w:t>
      </w:r>
    </w:p>
    <w:p>
      <w:pPr>
        <w:pStyle w:val="1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未进行</w:t>
      </w:r>
      <w:r>
        <w:rPr>
          <w:rFonts w:hint="eastAsia" w:asciiTheme="minorEastAsia" w:hAnsiTheme="minorEastAsia" w:eastAsiaTheme="minorEastAsia"/>
          <w:sz w:val="32"/>
          <w:szCs w:val="32"/>
        </w:rPr>
        <w:t>预算绩效管理、绩效目标和绩效评价报告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十、其他重要事项情况说明</w:t>
      </w:r>
    </w:p>
    <w:p>
      <w:pPr>
        <w:ind w:firstLine="480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（一）机关运行经费支出情况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本部门2019 年度机关运行经费支出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103.48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万元，比年初预算数减少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25.57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万元，降低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20.44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%。主要原因是：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积极实行上级政策，压缩开支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（二）一般性支出情况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2019年本部门开支会议费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12.66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万元，用于召开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村干部会议、镇村干部去县里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会议，人数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1568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人，内容为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学习、传达上级精神，安排村里各项任务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；开支培训费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0.86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万元，用于开展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入党积极分子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培训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、扶贫动态系统管理培训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</w:rPr>
        <w:t>，人数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</w:rPr>
        <w:t>人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（三）政府采购支出情况</w:t>
      </w:r>
    </w:p>
    <w:p>
      <w:pPr>
        <w:ind w:firstLine="640" w:firstLineChars="200"/>
        <w:rPr>
          <w:rFonts w:cs="黑体" w:asciiTheme="minorEastAsia" w:hAnsiTheme="minorEastAsia"/>
          <w:i/>
          <w:color w:val="FF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本部门2019年度政府采购支出总额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21.68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万元，其中：政府采购货物支出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21.68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万元、政府采购工程支出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万元、政府采购服务支出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万元。授予中小企业合同金额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万元，占政府采购支出总额的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%，其中：授予小微企业合同金额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万元，占政府采购支出总额的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%。</w:t>
      </w:r>
    </w:p>
    <w:p>
      <w:pPr>
        <w:ind w:firstLine="480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（四）国有资产占用情况</w:t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截至2019年12月31日，本单位共有车辆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辆，其中，领导干部用车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辆、机要通信用车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辆、应急保障用车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辆、执法执勤用车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辆、特种专业技术用车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辆、其他用车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辆；单位价值50万元以上通用设备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台（套）；单位价值100万元以上专用设备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台（套）。</w:t>
      </w:r>
    </w:p>
    <w:p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cs="黑体" w:asciiTheme="minorEastAsia" w:hAnsiTheme="minorEastAsia"/>
          <w:color w:val="000000"/>
          <w:kern w:val="0"/>
          <w:sz w:val="32"/>
          <w:szCs w:val="32"/>
        </w:rPr>
        <w:br w:type="page"/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</w:t>
      </w:r>
      <w:r>
        <w:rPr>
          <w:rFonts w:hint="eastAsia"/>
          <w:sz w:val="72"/>
          <w:szCs w:val="72"/>
          <w:lang w:val="en-US" w:eastAsia="zh-CN"/>
        </w:rPr>
        <w:t>三</w:t>
      </w:r>
      <w:r>
        <w:rPr>
          <w:rFonts w:hint="eastAsia"/>
          <w:sz w:val="72"/>
          <w:szCs w:val="72"/>
        </w:rPr>
        <w:t>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一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二、“三公”经费：纳入省财政预算管理的“三公“经费，是指用一般公共预算拨款安排的公务接待费、公务用车购置及运行维护费和因公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出入（境）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费。其中，公务接待费反映单位按规定开支的各类公务接待支出；公务用车购置及运行费反映单位公务用车车辆购置支出（含车辆购置税），以及燃料费、维修费、保险费等支出；因公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出入（境）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费反映单位公务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出入（境）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的国际旅费、国外城市间交通费、食宿费等支出。</w:t>
      </w:r>
    </w:p>
    <w:p>
      <w:pPr>
        <w:widowControl/>
        <w:jc w:val="left"/>
        <w:rPr>
          <w:rFonts w:asciiTheme="minorEastAsia" w:hAnsiTheme="minorEastAsia"/>
          <w:i/>
          <w:color w:val="FF0000"/>
          <w:sz w:val="32"/>
          <w:szCs w:val="32"/>
        </w:rPr>
      </w:pPr>
      <w:r>
        <w:rPr>
          <w:rFonts w:asciiTheme="minorEastAsia" w:hAnsiTheme="minorEastAsia"/>
          <w:i/>
          <w:color w:val="FF0000"/>
          <w:sz w:val="32"/>
          <w:szCs w:val="32"/>
        </w:rPr>
        <w:br w:type="page"/>
      </w: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</w:p>
    <w:p>
      <w:pPr>
        <w:pStyle w:val="1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ind w:firstLine="640" w:firstLineChars="200"/>
        <w:jc w:val="center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2019年度部门整体支出绩效评价报告</w:t>
      </w:r>
    </w:p>
    <w:p>
      <w:pPr>
        <w:pStyle w:val="2"/>
      </w:pPr>
    </w:p>
    <w:p>
      <w:pPr>
        <w:ind w:firstLine="640" w:firstLineChars="200"/>
        <w:jc w:val="left"/>
        <w:rPr>
          <w:rFonts w:hint="default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本单位未进行2019年度部门整体支出绩效评价。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56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hAnsi="仿宋_GB2312"/>
          <w:b/>
          <w:sz w:val="28"/>
          <w:szCs w:val="28"/>
          <w:lang w:val="en-US" w:eastAsia="zh-CN"/>
        </w:rPr>
        <w:t>附：</w:t>
      </w:r>
      <w:r>
        <w:rPr>
          <w:rFonts w:hAnsi="仿宋_GB2312"/>
          <w:b/>
          <w:sz w:val="28"/>
          <w:szCs w:val="28"/>
        </w:rPr>
        <w:t>2019</w:t>
      </w:r>
      <w:r>
        <w:rPr>
          <w:rFonts w:hint="eastAsia" w:hAnsi="仿宋_GB2312"/>
          <w:b/>
          <w:sz w:val="28"/>
          <w:szCs w:val="28"/>
        </w:rPr>
        <w:t>年度部门决算表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9AE14A"/>
    <w:multiLevelType w:val="singleLevel"/>
    <w:tmpl w:val="B49AE14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5086902"/>
    <w:multiLevelType w:val="singleLevel"/>
    <w:tmpl w:val="250869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15B7"/>
    <w:rsid w:val="000658A3"/>
    <w:rsid w:val="00074155"/>
    <w:rsid w:val="000A3F69"/>
    <w:rsid w:val="00135EF3"/>
    <w:rsid w:val="00152C6D"/>
    <w:rsid w:val="00162D39"/>
    <w:rsid w:val="001A67DB"/>
    <w:rsid w:val="001D51E5"/>
    <w:rsid w:val="001F0C3B"/>
    <w:rsid w:val="00214427"/>
    <w:rsid w:val="00265724"/>
    <w:rsid w:val="0027426B"/>
    <w:rsid w:val="003479BD"/>
    <w:rsid w:val="003768D5"/>
    <w:rsid w:val="004506F9"/>
    <w:rsid w:val="004717A2"/>
    <w:rsid w:val="00491741"/>
    <w:rsid w:val="00500E5F"/>
    <w:rsid w:val="005122EF"/>
    <w:rsid w:val="00517C33"/>
    <w:rsid w:val="00523644"/>
    <w:rsid w:val="0054069E"/>
    <w:rsid w:val="005767CC"/>
    <w:rsid w:val="00590D9F"/>
    <w:rsid w:val="00595D26"/>
    <w:rsid w:val="005A74E6"/>
    <w:rsid w:val="005D4D55"/>
    <w:rsid w:val="005E2CFB"/>
    <w:rsid w:val="0062378F"/>
    <w:rsid w:val="00651EEC"/>
    <w:rsid w:val="006A351B"/>
    <w:rsid w:val="006B0422"/>
    <w:rsid w:val="006C1B53"/>
    <w:rsid w:val="006D7730"/>
    <w:rsid w:val="006E5284"/>
    <w:rsid w:val="006F3EB5"/>
    <w:rsid w:val="00702E34"/>
    <w:rsid w:val="00704395"/>
    <w:rsid w:val="00720FF1"/>
    <w:rsid w:val="00812ED5"/>
    <w:rsid w:val="008277D9"/>
    <w:rsid w:val="008A3E8D"/>
    <w:rsid w:val="009237C4"/>
    <w:rsid w:val="00950252"/>
    <w:rsid w:val="00967F5D"/>
    <w:rsid w:val="009A0F95"/>
    <w:rsid w:val="009B3ADF"/>
    <w:rsid w:val="009C3B52"/>
    <w:rsid w:val="00A42218"/>
    <w:rsid w:val="00A70249"/>
    <w:rsid w:val="00B33BEA"/>
    <w:rsid w:val="00B57C9F"/>
    <w:rsid w:val="00B845B3"/>
    <w:rsid w:val="00B85D8B"/>
    <w:rsid w:val="00BE3674"/>
    <w:rsid w:val="00C3049A"/>
    <w:rsid w:val="00C31B1E"/>
    <w:rsid w:val="00C77645"/>
    <w:rsid w:val="00CE04C3"/>
    <w:rsid w:val="00CE76A0"/>
    <w:rsid w:val="00D148C6"/>
    <w:rsid w:val="00DD06FF"/>
    <w:rsid w:val="00DD5FE9"/>
    <w:rsid w:val="00E00C7A"/>
    <w:rsid w:val="00E55B68"/>
    <w:rsid w:val="00F74360"/>
    <w:rsid w:val="00FB462F"/>
    <w:rsid w:val="00FE16FA"/>
    <w:rsid w:val="00FE328A"/>
    <w:rsid w:val="06F46660"/>
    <w:rsid w:val="08944D2E"/>
    <w:rsid w:val="174C53BF"/>
    <w:rsid w:val="1ADF497F"/>
    <w:rsid w:val="2AFE5558"/>
    <w:rsid w:val="34764A11"/>
    <w:rsid w:val="45992C4F"/>
    <w:rsid w:val="69D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A967F-99A7-44AE-8CB3-A0222E97A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1258</Words>
  <Characters>7176</Characters>
  <Lines>59</Lines>
  <Paragraphs>16</Paragraphs>
  <TotalTime>0</TotalTime>
  <ScaleCrop>false</ScaleCrop>
  <LinksUpToDate>false</LinksUpToDate>
  <CharactersWithSpaces>8418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Administrator</cp:lastModifiedBy>
  <cp:lastPrinted>2020-07-15T07:25:00Z</cp:lastPrinted>
  <dcterms:modified xsi:type="dcterms:W3CDTF">2021-06-07T01:49:06Z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