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center"/>
        <w:rPr>
          <w:sz w:val="84"/>
          <w:szCs w:val="84"/>
          <w:highlight w:val="none"/>
        </w:rPr>
      </w:pPr>
    </w:p>
    <w:p>
      <w:pPr>
        <w:pStyle w:val="10"/>
        <w:jc w:val="center"/>
        <w:rPr>
          <w:sz w:val="84"/>
          <w:szCs w:val="84"/>
          <w:highlight w:val="none"/>
        </w:rPr>
      </w:pPr>
    </w:p>
    <w:p>
      <w:pPr>
        <w:pStyle w:val="10"/>
        <w:jc w:val="center"/>
        <w:rPr>
          <w:rFonts w:hint="eastAsia"/>
          <w:sz w:val="84"/>
          <w:szCs w:val="84"/>
          <w:highlight w:val="none"/>
          <w:lang w:val="en-US" w:eastAsia="zh-CN"/>
        </w:rPr>
      </w:pPr>
      <w:r>
        <w:rPr>
          <w:rFonts w:hint="eastAsia"/>
          <w:sz w:val="84"/>
          <w:szCs w:val="84"/>
          <w:highlight w:val="none"/>
          <w:lang w:eastAsia="zh-CN"/>
        </w:rPr>
        <w:t>2018年</w:t>
      </w:r>
      <w:r>
        <w:rPr>
          <w:rFonts w:hint="eastAsia"/>
          <w:sz w:val="84"/>
          <w:szCs w:val="84"/>
          <w:highlight w:val="none"/>
        </w:rPr>
        <w:t>度</w:t>
      </w:r>
      <w:r>
        <w:rPr>
          <w:rFonts w:hint="eastAsia"/>
          <w:sz w:val="84"/>
          <w:szCs w:val="84"/>
          <w:highlight w:val="none"/>
          <w:lang w:val="en-US" w:eastAsia="zh-CN"/>
        </w:rPr>
        <w:t>石湾镇人民政府</w:t>
      </w:r>
    </w:p>
    <w:p>
      <w:pPr>
        <w:pStyle w:val="10"/>
        <w:jc w:val="center"/>
        <w:rPr>
          <w:sz w:val="84"/>
          <w:szCs w:val="84"/>
          <w:highlight w:val="none"/>
        </w:rPr>
      </w:pPr>
      <w:r>
        <w:rPr>
          <w:rFonts w:hint="eastAsia"/>
          <w:sz w:val="84"/>
          <w:szCs w:val="84"/>
          <w:highlight w:val="none"/>
        </w:rPr>
        <w:t>单位部门决算</w:t>
      </w:r>
    </w:p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center"/>
        <w:rPr>
          <w:sz w:val="56"/>
          <w:szCs w:val="56"/>
          <w:highlight w:val="none"/>
        </w:rPr>
      </w:pPr>
    </w:p>
    <w:p>
      <w:pPr>
        <w:pStyle w:val="10"/>
        <w:jc w:val="both"/>
        <w:rPr>
          <w:sz w:val="56"/>
          <w:szCs w:val="56"/>
          <w:highlight w:val="none"/>
        </w:rPr>
      </w:pPr>
    </w:p>
    <w:p>
      <w:pPr>
        <w:pStyle w:val="10"/>
        <w:spacing w:line="540" w:lineRule="exact"/>
        <w:jc w:val="center"/>
        <w:rPr>
          <w:sz w:val="56"/>
          <w:szCs w:val="56"/>
          <w:highlight w:val="none"/>
        </w:rPr>
      </w:pPr>
    </w:p>
    <w:p>
      <w:pPr>
        <w:pStyle w:val="10"/>
        <w:spacing w:line="520" w:lineRule="exact"/>
        <w:jc w:val="center"/>
        <w:rPr>
          <w:sz w:val="56"/>
          <w:szCs w:val="56"/>
          <w:highlight w:val="none"/>
        </w:rPr>
      </w:pPr>
      <w:r>
        <w:rPr>
          <w:rFonts w:hint="eastAsia"/>
          <w:sz w:val="56"/>
          <w:szCs w:val="56"/>
          <w:highlight w:val="none"/>
        </w:rPr>
        <w:t>目录</w:t>
      </w:r>
    </w:p>
    <w:p>
      <w:pPr>
        <w:pStyle w:val="10"/>
        <w:spacing w:line="520" w:lineRule="exact"/>
        <w:rPr>
          <w:rFonts w:ascii="仿宋_GB2312" w:hAnsi="仿宋_GB2312" w:cs="仿宋_GB2312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第一部分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highlight w:val="none"/>
          <w:lang w:eastAsia="zh-CN"/>
        </w:rPr>
        <w:t>石湾镇人民政府</w:t>
      </w:r>
      <w:r>
        <w:rPr>
          <w:rFonts w:hint="eastAsia"/>
          <w:b/>
          <w:sz w:val="28"/>
          <w:szCs w:val="28"/>
          <w:highlight w:val="none"/>
        </w:rPr>
        <w:t>概况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一、部门职责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二、机构设置</w:t>
      </w:r>
    </w:p>
    <w:p>
      <w:pPr>
        <w:pStyle w:val="10"/>
        <w:spacing w:line="520" w:lineRule="exact"/>
        <w:rPr>
          <w:rFonts w:ascii="仿宋_GB2312" w:hAnsi="仿宋_GB2312" w:cs="仿宋_GB2312"/>
          <w:b/>
          <w:sz w:val="28"/>
          <w:szCs w:val="28"/>
          <w:highlight w:val="none"/>
        </w:rPr>
      </w:pPr>
      <w:r>
        <w:rPr>
          <w:rFonts w:hint="eastAsia" w:hAnsi="仿宋_GB2312"/>
          <w:b/>
          <w:sz w:val="28"/>
          <w:szCs w:val="28"/>
          <w:highlight w:val="none"/>
        </w:rPr>
        <w:t>第二部分</w:t>
      </w:r>
      <w:r>
        <w:rPr>
          <w:rFonts w:hint="eastAsia" w:hAnsi="仿宋_GB2312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hAnsi="仿宋_GB2312"/>
          <w:b/>
          <w:sz w:val="28"/>
          <w:szCs w:val="28"/>
          <w:highlight w:val="none"/>
          <w:lang w:eastAsia="zh-CN"/>
        </w:rPr>
        <w:t>2018年</w:t>
      </w:r>
      <w:r>
        <w:rPr>
          <w:rFonts w:hint="eastAsia" w:hAnsi="仿宋_GB2312"/>
          <w:b/>
          <w:sz w:val="28"/>
          <w:szCs w:val="28"/>
          <w:highlight w:val="none"/>
        </w:rPr>
        <w:t>度部门决算情况说明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一、收入支出决算总体情况说明</w:t>
      </w:r>
    </w:p>
    <w:p>
      <w:pPr>
        <w:spacing w:line="520" w:lineRule="exact"/>
        <w:ind w:firstLine="700" w:firstLineChars="250"/>
        <w:jc w:val="left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ascii="仿宋_GB2312" w:hAnsi="仿宋_GB2312" w:cs="仿宋_GB2312"/>
          <w:sz w:val="28"/>
          <w:szCs w:val="28"/>
          <w:highlight w:val="none"/>
        </w:rPr>
        <w:t>二、收入决算情况说明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  <w:t>三、支出决算情况说明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  <w:t>四、财政拨款收入支出决算总体情况说明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  <w:t>六、一般公共预算财政拨款基本支出决算情况说明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  <w:t>七、一般公共预算财政拨款三公经费支出决算情况说明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</w:rPr>
        <w:t>政府性基金预算收入支出决算情况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  <w:t>、预算绩效情况说明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</w:rPr>
        <w:t>十</w:t>
      </w:r>
      <w:r>
        <w:rPr>
          <w:rFonts w:ascii="仿宋_GB2312" w:hAnsi="仿宋_GB2312" w:cs="仿宋_GB2312"/>
          <w:color w:val="000000"/>
          <w:kern w:val="0"/>
          <w:sz w:val="28"/>
          <w:szCs w:val="28"/>
          <w:highlight w:val="none"/>
        </w:rPr>
        <w:t>、其他重要事项情况说明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 w:cs="仿宋_GB2312"/>
          <w:b/>
          <w:color w:val="000000"/>
          <w:kern w:val="0"/>
          <w:sz w:val="28"/>
          <w:szCs w:val="28"/>
          <w:highlight w:val="none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  <w:highlight w:val="none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  <w:highlight w:val="none"/>
        </w:rPr>
        <w:t>部分名词解释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  <w:highlight w:val="none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  <w:highlight w:val="none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highlight w:val="none"/>
          <w:lang w:val="en-US" w:eastAsia="zh-CN"/>
        </w:rPr>
        <w:t>四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  <w:highlight w:val="none"/>
        </w:rPr>
        <w:t>部分附件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hAnsi="仿宋_GB2312"/>
          <w:b/>
          <w:sz w:val="28"/>
          <w:szCs w:val="28"/>
          <w:highlight w:val="none"/>
          <w:lang w:eastAsia="zh-CN"/>
        </w:rPr>
        <w:t>2018年</w:t>
      </w:r>
      <w:r>
        <w:rPr>
          <w:rFonts w:hint="eastAsia" w:hAnsi="仿宋_GB2312"/>
          <w:b/>
          <w:sz w:val="28"/>
          <w:szCs w:val="28"/>
          <w:highlight w:val="none"/>
        </w:rPr>
        <w:t>度部门决算表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一、收入支出决算总表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二、收入决算表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三、支出决算表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四、财政拨款收入支出决算总表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五、一般公共预算财政拨款支出决算表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六、一般公共预算财政拨款基本支出决算表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七、一般公共预算财政拨款“三公”经费支出决算表</w:t>
      </w:r>
    </w:p>
    <w:p>
      <w:pPr>
        <w:pStyle w:val="10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  <w:highlight w:val="none"/>
        </w:rPr>
      </w:pPr>
      <w:r>
        <w:rPr>
          <w:rFonts w:cs="仿宋_GB2312" w:asciiTheme="minorEastAsia" w:hAnsiTheme="minorEastAsia" w:eastAsiaTheme="minorEastAsia"/>
          <w:sz w:val="28"/>
          <w:szCs w:val="28"/>
          <w:highlight w:val="none"/>
        </w:rPr>
        <w:t>八、政府性基金预算财政拨款收入支出决算表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84"/>
          <w:szCs w:val="84"/>
          <w:highlight w:val="none"/>
        </w:rPr>
      </w:pPr>
      <w:r>
        <w:rPr>
          <w:rFonts w:hint="eastAsia"/>
          <w:sz w:val="84"/>
          <w:szCs w:val="84"/>
          <w:highlight w:val="none"/>
        </w:rPr>
        <w:t>第一部分</w:t>
      </w:r>
      <w:r>
        <w:rPr>
          <w:sz w:val="84"/>
          <w:szCs w:val="84"/>
          <w:highlight w:val="none"/>
        </w:rPr>
        <w:t xml:space="preserve"> </w:t>
      </w:r>
    </w:p>
    <w:p>
      <w:pPr>
        <w:pStyle w:val="10"/>
        <w:jc w:val="center"/>
        <w:rPr>
          <w:sz w:val="84"/>
          <w:szCs w:val="84"/>
          <w:highlight w:val="none"/>
        </w:rPr>
      </w:pPr>
    </w:p>
    <w:p>
      <w:pPr>
        <w:pStyle w:val="10"/>
        <w:jc w:val="center"/>
        <w:rPr>
          <w:sz w:val="84"/>
          <w:szCs w:val="84"/>
          <w:highlight w:val="none"/>
        </w:rPr>
      </w:pPr>
      <w:r>
        <w:rPr>
          <w:rFonts w:hint="eastAsia"/>
          <w:sz w:val="84"/>
          <w:szCs w:val="84"/>
          <w:highlight w:val="none"/>
          <w:lang w:eastAsia="zh-CN"/>
        </w:rPr>
        <w:t>石湾镇人民政府</w:t>
      </w:r>
      <w:r>
        <w:rPr>
          <w:rFonts w:hint="eastAsia"/>
          <w:sz w:val="84"/>
          <w:szCs w:val="84"/>
          <w:highlight w:val="none"/>
        </w:rPr>
        <w:t>概况</w:t>
      </w: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jc w:val="center"/>
        <w:rPr>
          <w:sz w:val="72"/>
          <w:szCs w:val="72"/>
          <w:highlight w:val="none"/>
        </w:rPr>
      </w:pPr>
    </w:p>
    <w:p>
      <w:pPr>
        <w:pStyle w:val="11"/>
        <w:ind w:left="720" w:firstLine="0" w:firstLineChars="0"/>
        <w:jc w:val="left"/>
        <w:rPr>
          <w:rFonts w:ascii="黑体" w:hAnsi="黑体" w:eastAsia="黑体"/>
          <w:sz w:val="32"/>
          <w:szCs w:val="32"/>
          <w:highlight w:val="none"/>
        </w:rPr>
      </w:pPr>
    </w:p>
    <w:p>
      <w:pPr>
        <w:pStyle w:val="11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部门职责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本单位主要职能是：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根据国家有关法律法规，党委、政府通过组织群众、宣传群众、教育群众、服务群众，切实贯彻落实党和国家在农村的各项方针政策和法律法规，围绕农业、农村、农民搞好服务，全面履行和承担五项职能：一是促进经济发展，增加农民收入；二是强化公共服务，着力改善民生；三是加强社会管理，维护农村稳定；四是推进基层民主，促进农村和谐;五是加强基层党建，巩固基层政权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（一）宣传贯彻落实法律法规和党的各项方针政策，坚持依法行政，推进民主政治发展，促进村民自治，加强基层党组织和政权建设。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（二）促进经济发展，增加农民收入。负责镇村发展规划，培育主导产业，推动产业结构调整，加快旅游开发进程，提高农业综合生产能力。建立新型农业社会化服务体系，发展农民专业合作组织，提高农产品质量安全水平。稳定和完善农村基本经营制度，探索集体经济有效实现形式，引导农民珍惜土地、增加投入，发展集约经营。加强农村基础设施建设和新型农村服务体系建设，落实强农惠农措施，确保农民受益。促进民营经济发展，引导农民多渠道转移就业，增加农民收入，不断提高人民生活水平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（三）强化公共服务，着力改善民生。拓宽服务渠道，改进服务方式，通过“一站式”服务等多种形式，形成管理有序、服务完善、文明祥和的社会生活共同体。落实计划生育基本国策，推进优生优育，保持人口适度增长，保护妇女、儿童和老人的合法权益。促进农村义务教育均衡发展，推动农村公共卫生体系和基本医疗体系建设，丰富农民群众文化生活，发展农村体育事业，培养社会主义新型农民。做好防灾减灾、五保供养、优抚安置、低保、扶贫救济、社会保险和其他社会救助工作。发展农村老龄服务。加强农村残疾预防和残疾人康复工作。组织开展农村基础设施建设，完善农民生产生活条件。做好外出务工人员技能培训等服务工作，促进城乡劳动者平等就业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（四）加强社会管理，维护农村稳定。推进依法行政，严格依法履行职责。加强民主法制宣传教育。加强社会治安综合治理，完善农村治安防控体系，保障人民生命财产安全。做好农村信访工作，畅通诉求渠道，及时掌握社情民意，排查化解矛盾纠纷，妥善处理人民内部矛盾。建立健全农村应急管理体制，提高危机处置能力。依法管理宗教事务，反对和制止利用宗教和宗教势力干预农村公共事务。承担安全生产、环境保护工作，协助县级有关部门做好市场监管、劳动监察等方面的工作,保证社会公正，维护社会秩序和社会稳定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（五）推动基层民主，促进农村和谐。健全以村（社区）党组织为核心的村民自治机制，加强对村民委员会工作的指导。健全村级民主选举、民主决策、民主管理、民主监督制度，全面推行村民代表议事制度，健全和完善村民自治章程和村规民约。规范和完善村账镇代管工作，推进村务公开、财务公开，引导农民有序参与村级事务管理。推动农村社区建设，促进社会组织健康发展，增强社会自治功能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（六）强化基层党建，巩固基层政权。加强农村党的基层组织建设、农村基层干部队伍建设、农村党员队伍建设，发挥基层党组织的战斗堡垒作用和党员的先锋模范作用。严格党组织生活，加强后备力量培养，抓好党员发展教育管理。加强农村党风廉政建设，推进农村惩治和预防腐败建设。加强党管武装工作。加强和改进对工会、共青团和妇联等群团工作的领导，推动党群共建。按照干部管理权限，负责干部的教育、培养、选拔和监督工作，协助管理上级有关单位的驻镇干部。</w:t>
      </w:r>
    </w:p>
    <w:p>
      <w:pPr>
        <w:widowControl/>
        <w:spacing w:line="600" w:lineRule="exact"/>
        <w:ind w:firstLine="320" w:firstLineChars="1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（七）完成上级交办的其他工作任务。</w:t>
      </w:r>
    </w:p>
    <w:p>
      <w:pPr>
        <w:widowControl/>
        <w:spacing w:line="600" w:lineRule="exact"/>
        <w:rPr>
          <w:rFonts w:ascii="黑体" w:hAnsi="黑体" w:eastAsia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highlight w:val="none"/>
        </w:rPr>
        <w:t>二、机构设置及决算单位构成</w:t>
      </w:r>
    </w:p>
    <w:p>
      <w:pPr>
        <w:widowControl/>
        <w:spacing w:line="600" w:lineRule="exact"/>
        <w:rPr>
          <w:rFonts w:hint="eastAsia" w:asciiTheme="minorEastAsia" w:hAnsiTheme="minorEastAsia"/>
          <w:bCs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</w:rPr>
        <w:t>（一）内设机构设置。</w:t>
      </w:r>
    </w:p>
    <w:p>
      <w:pPr>
        <w:widowControl/>
        <w:spacing w:line="600" w:lineRule="exact"/>
        <w:ind w:firstLine="320" w:firstLineChars="100"/>
        <w:rPr>
          <w:rFonts w:hint="eastAsia" w:eastAsia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eastAsia="zh-CN"/>
        </w:rPr>
        <w:t>本</w:t>
      </w: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</w:rPr>
        <w:t>单位内设机构包括</w:t>
      </w: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val="en-US" w:eastAsia="zh-CN"/>
        </w:rPr>
        <w:t>党政综合办公室、经济发展办公室、社会事务办公室、自然资源和生态环境办公室、社会治安综合治理和应急管理办公室、基层党建工作办公室、社会事业综合服务中心、退役军人服务站、农业综合服务中心、政务服务中心、综合行政执法大队、财政所等部门。本单位部门</w:t>
      </w:r>
      <w:bookmarkStart w:id="0" w:name="_GoBack"/>
      <w:bookmarkEnd w:id="0"/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val="en-US" w:eastAsia="zh-CN"/>
        </w:rPr>
        <w:t>决算为本级决算。</w:t>
      </w:r>
    </w:p>
    <w:p>
      <w:pPr>
        <w:pStyle w:val="2"/>
        <w:rPr>
          <w:sz w:val="32"/>
          <w:szCs w:val="32"/>
          <w:highlight w:val="none"/>
        </w:rPr>
      </w:pPr>
    </w:p>
    <w:p>
      <w:pPr>
        <w:widowControl/>
        <w:numPr>
          <w:ilvl w:val="0"/>
          <w:numId w:val="2"/>
        </w:numPr>
        <w:spacing w:line="600" w:lineRule="exact"/>
        <w:rPr>
          <w:rFonts w:hint="eastAsia" w:asciiTheme="minorEastAsia" w:hAnsiTheme="minorEastAsia"/>
          <w:bCs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</w:rPr>
        <w:t>决算单位构成。</w:t>
      </w:r>
    </w:p>
    <w:p>
      <w:pPr>
        <w:widowControl/>
        <w:spacing w:line="600" w:lineRule="exact"/>
        <w:ind w:firstLine="640" w:firstLineChars="200"/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highlight w:val="none"/>
          <w:lang w:val="en-US" w:eastAsia="zh-CN"/>
        </w:rPr>
        <w:t>纳入本单位决算编制范围的包括：党政综合办公室、经济发展办公室、社会事务办公室、自然资源和生态环境办公室、社会治安综合治理和应急管理办公室、基层党建工作办公室、社会事业综合服务中心、退役军人服务站、农业综合服务中心、政务服务中心、综合行政执法大队、财政所，以上部门一并进行决算公开。</w:t>
      </w:r>
    </w:p>
    <w:p>
      <w:pPr>
        <w:jc w:val="left"/>
        <w:rPr>
          <w:rFonts w:ascii="仿宋_GB2312" w:eastAsia="仿宋_GB2312" w:hAnsiTheme="minorEastAsia"/>
          <w:sz w:val="28"/>
          <w:szCs w:val="32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>
      <w:pPr>
        <w:pStyle w:val="10"/>
        <w:rPr>
          <w:sz w:val="72"/>
          <w:szCs w:val="72"/>
          <w:highlight w:val="none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10"/>
        <w:rPr>
          <w:sz w:val="72"/>
          <w:szCs w:val="72"/>
          <w:highlight w:val="none"/>
        </w:rPr>
      </w:pPr>
    </w:p>
    <w:p>
      <w:pPr>
        <w:pStyle w:val="10"/>
        <w:rPr>
          <w:sz w:val="72"/>
          <w:szCs w:val="72"/>
          <w:highlight w:val="none"/>
        </w:rPr>
      </w:pPr>
    </w:p>
    <w:p>
      <w:pPr>
        <w:pStyle w:val="10"/>
        <w:rPr>
          <w:sz w:val="72"/>
          <w:szCs w:val="72"/>
          <w:highlight w:val="none"/>
        </w:rPr>
      </w:pPr>
    </w:p>
    <w:p>
      <w:pPr>
        <w:pStyle w:val="10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  <w:r>
        <w:rPr>
          <w:rFonts w:hint="eastAsia"/>
          <w:sz w:val="72"/>
          <w:szCs w:val="72"/>
          <w:highlight w:val="none"/>
        </w:rPr>
        <w:t>第</w:t>
      </w:r>
      <w:r>
        <w:rPr>
          <w:rFonts w:hint="eastAsia"/>
          <w:sz w:val="72"/>
          <w:szCs w:val="72"/>
          <w:highlight w:val="none"/>
          <w:lang w:val="en-US" w:eastAsia="zh-CN"/>
        </w:rPr>
        <w:t>二</w:t>
      </w:r>
      <w:r>
        <w:rPr>
          <w:rFonts w:hint="eastAsia"/>
          <w:sz w:val="72"/>
          <w:szCs w:val="72"/>
          <w:highlight w:val="none"/>
        </w:rPr>
        <w:t>部分</w:t>
      </w:r>
    </w:p>
    <w:p>
      <w:pPr>
        <w:pStyle w:val="10"/>
        <w:jc w:val="center"/>
        <w:rPr>
          <w:sz w:val="70"/>
          <w:szCs w:val="70"/>
          <w:highlight w:val="none"/>
        </w:rPr>
      </w:pPr>
    </w:p>
    <w:p>
      <w:pPr>
        <w:pStyle w:val="10"/>
        <w:jc w:val="center"/>
        <w:rPr>
          <w:sz w:val="70"/>
          <w:szCs w:val="70"/>
          <w:highlight w:val="none"/>
        </w:rPr>
      </w:pPr>
      <w:r>
        <w:rPr>
          <w:rFonts w:hint="eastAsia"/>
          <w:sz w:val="70"/>
          <w:szCs w:val="70"/>
          <w:highlight w:val="none"/>
          <w:lang w:eastAsia="zh-CN"/>
        </w:rPr>
        <w:t>2018年</w:t>
      </w:r>
      <w:r>
        <w:rPr>
          <w:rFonts w:hint="eastAsia"/>
          <w:sz w:val="70"/>
          <w:szCs w:val="70"/>
          <w:highlight w:val="none"/>
        </w:rPr>
        <w:t>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  <w:highlight w:val="none"/>
        </w:rPr>
      </w:pPr>
      <w:r>
        <w:rPr>
          <w:sz w:val="70"/>
          <w:szCs w:val="70"/>
          <w:highlight w:val="none"/>
        </w:rPr>
        <w:br w:type="page"/>
      </w:r>
    </w:p>
    <w:p>
      <w:pPr>
        <w:pStyle w:val="10"/>
        <w:rPr>
          <w:rFonts w:asciiTheme="minorEastAsia" w:hAnsiTheme="minorEastAsia" w:eastAsiaTheme="minorEastAsia"/>
          <w:sz w:val="32"/>
          <w:szCs w:val="32"/>
          <w:highlight w:val="none"/>
        </w:rPr>
      </w:pP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一、收入支出决算总体情况说明</w:t>
      </w:r>
    </w:p>
    <w:p>
      <w:pPr>
        <w:pStyle w:val="10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201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年度收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入总计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1662.88万元，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与201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年相比，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上年度决算收入减少70.88万元，减少4.1%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。支出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总计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1838.42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万元。与201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年相比，减少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36.46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1.9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人员减少。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二、收入决算情况说明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本年收入合计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1662.88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1478.61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88.92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%；上级补助收入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%；事业收入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%；经营收入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%；附属单位上缴收入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%；其他收入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184.26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11.08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三、支出决算情况说明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本年支出合计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1838.42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1291.43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70.25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546.99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27.95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%；上缴上级支出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%；经营支出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%；对附属单位补助支出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四、财政拨款收入支出决算总体情况说明</w:t>
      </w:r>
    </w:p>
    <w:p>
      <w:pPr>
        <w:pStyle w:val="10"/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2018年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度财政拨款收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入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总计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1478.61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万元，与201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年相比，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减少151.23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万元,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减少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9.28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人员减少。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五、一般公共预算财政拨款支出决算情况说明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（一）财政拨款支出决算总体情况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2018年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度财政拨款支出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1470.61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79.99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%，与201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年相比，财政拨款支出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减少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138.82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减少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8.63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人员减少，人员经费减少。</w:t>
      </w:r>
    </w:p>
    <w:p>
      <w:pPr>
        <w:pStyle w:val="10"/>
        <w:ind w:firstLine="480" w:firstLineChars="150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（二）财政拨款支出决算结构情况</w:t>
      </w:r>
    </w:p>
    <w:p>
      <w:pPr>
        <w:pStyle w:val="10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2018年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度财政拨款支出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1470.61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万元，主要用于以下方面：一般公共服务（类）支出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717.97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48.82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%；文化旅游体育与传媒支出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14.28万元，占0.97%；社会保障和就业支出136.99万元，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9.32%；卫生健康支出46.72万元，占3.18%；节能环保支出17.63万元，占1.2%；城乡社区支出53.9万元，占3.67%；交通运输支出9.24万元，占0.63%；农林水支出441.94万元，占30.05%。资源勘探信息等支出18万元，占1.22%；自然资源海洋气象等支出13.95万元，占0.95%；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（三）财政拨款支出决算具体情况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2018年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度财政拨款支出年初预算数为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1042.67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万元，支出决算数为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1470.62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141.04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%，其中：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1、一般公共服务（类）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人大事务（款）行政运行（项）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11.61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11.61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2、一般公共服务（类）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政协事务（款）行政运行（项）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6.24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6.24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政府办公厅（室）及相关机构事务（款）行政运行（项）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443.11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534.65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120.66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由于政府业务增加，行政运行支出增加。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政府办公厅（室）及相关机构事务（款）一般行政管理事务（项）</w:t>
      </w:r>
    </w:p>
    <w:p>
      <w:pPr>
        <w:pStyle w:val="10"/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9.68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预算调整增加指标。</w:t>
      </w:r>
    </w:p>
    <w:p>
      <w:pPr>
        <w:pStyle w:val="10"/>
        <w:numPr>
          <w:ilvl w:val="0"/>
          <w:numId w:val="3"/>
        </w:numPr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财政事务（款）行政运行（项）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58.77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58.77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财政事务（款）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财政国库其他业务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决算数大于年初预算数的主要原因是：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由于财政业务增加，预算调整增加指标。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党委办公厅（室）及相关机构事务（款）行政运行（项）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49.1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49.1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组织事务（款）其他组织事务支出（项）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9.6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由于政府公共服务业务增加，预算调整增加指标。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一般公共服务（类）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其他一般公共服务支出（款） 其他一般公共服务支出（项）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由于政府公共服务业务增加，预算调整增加指标。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文化旅游体育与传媒支出（类）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文化和旅游（款）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文化旅游体育与传媒支出（类）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广播电视（款）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9.48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9.48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人力资源和社会保障管理事务（款）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13.07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13.07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人力资源和社会保障管理事务（款）  其他人力资源和社会保障管理事务支出（项）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45.49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行政事业单位离退休（款）机关事业单位基本养老保险缴费支出（项）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78.43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78.43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卫生健康支出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卫生健康管理事务（款）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18.77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18.77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卫生健康支出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卫生健康管理事务（款）其他计划生育事务支出（项）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27.15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收入返还，预算调整增加指标。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卫生健康支出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优抚对象医疗（款）优抚对象医疗补助（项）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节能环保支出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自然生态保护（款）  农村环境保护（项）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17.63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环境整治调整预算，增加指标。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城乡社区支出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城乡社区管理事务（款） 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城乡社区支出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城乡社区公共设施（款）  小城镇基础设施建设（项）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小城镇基础设施建设调整预算，增加指标。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城乡社区支出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城乡社区公共设施（款）其他城乡社区公共设施支出（项）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农业（款）行政运行（项）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83.17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83.17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农业（款）病虫害控制（项）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农业（款）  其他农业支出（项）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林业和草原（款） 其他农业支出（项）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8.69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水利（款） 抗旱（项）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水利（款） 其他水利支出（项）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扶贫（款）其他扶贫支出（项）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7.85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农村综合改革（款） 对村级一事一议的补助（项）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农林水支出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农村综合改革（款） 对村民委员会和村党支部的补助（项）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237.23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237.23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交通运输支出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公路水路运输（款）行政运行（项）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0.24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0.24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交通运输支出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公路水路运输（款）其他公路水路运输支出（项）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资源勘探信息等支出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制造业（款）其他制造业支出（项）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资源勘探信息等支出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安全生产监管（款）其他安全生产监管支出（项）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万元，决算数大于年初预算数的主要原因是：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调整预算，增加指标。</w:t>
      </w:r>
    </w:p>
    <w:p>
      <w:pPr>
        <w:pStyle w:val="10"/>
        <w:numPr>
          <w:ilvl w:val="0"/>
          <w:numId w:val="3"/>
        </w:numPr>
        <w:ind w:left="0" w:leftChars="0" w:firstLine="800" w:firstLine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自然资源海洋气象等支出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（类）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自然资源事务（款） 行政运行（项）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。</w:t>
      </w:r>
    </w:p>
    <w:p>
      <w:pPr>
        <w:pStyle w:val="10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年初预算为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13.95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13.95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六、一般公共预算财政拨款基本支出决算情况说明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2018年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度财政拨款基本支出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1252.31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1037.49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82.85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%,主要包括基本工资、津贴补贴、奖金、伙食补助费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、绩效工资、机关事业单位基本养老保险缴费、职工基本医疗保险缴费、其他社会保障缴费、住房公积金、医疗费补助、其他对个人和家庭的补助。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公用经费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214.82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17.15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%，主要包括办公费、印刷费、咨询费、手续费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、电费、租赁费、会议费、公务接待费、专用燃料费、工会经费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七、一般公共预算财政拨款三公经费支出决算情况说明</w:t>
      </w:r>
    </w:p>
    <w:p>
      <w:pPr>
        <w:pStyle w:val="10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（一）“三公”经费财政拨款支出决算总体情况说明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17.2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63.95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%，其中：</w:t>
      </w:r>
    </w:p>
    <w:p>
      <w:pPr>
        <w:pStyle w:val="10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因公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出入（境）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费支出预算为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。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公务接待费支出预算为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10.62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70.8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%，决算数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小于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年初预算数的主要原因是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积极实行上级政策，压缩开支。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与上年相比减少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15.14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142.56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%,减少的主要原因是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积极实行上级政策，压缩开支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。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公务用车购置费及运行维护费支出预算为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0.36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16.36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%，决算数小于年初预算数的主要原因是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积极实行上级政策，压缩开支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，与上年相比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减少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121.05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%,增长的主要原因是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积极实行上级政策，压缩开支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。</w:t>
      </w:r>
    </w:p>
    <w:p>
      <w:pPr>
        <w:pStyle w:val="10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（二）“三公”经费财政拨款支出决算具体情况说明</w:t>
      </w:r>
    </w:p>
    <w:p>
      <w:pPr>
        <w:pStyle w:val="10"/>
        <w:ind w:firstLine="640" w:firstLineChars="20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2018年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度“三公”经费财政拨款支出决算中，公务接待费支出决算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10.62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96.55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%,因公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出入（境）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费支出决算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0.36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%。其中：</w:t>
      </w:r>
    </w:p>
    <w:p>
      <w:pPr>
        <w:pStyle w:val="1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1、因公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出入（境）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费支出决算为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</w:t>
      </w:r>
    </w:p>
    <w:p>
      <w:pPr>
        <w:pStyle w:val="10"/>
        <w:ind w:firstLine="800" w:firstLineChars="250"/>
        <w:rPr>
          <w:rFonts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2、公务接待费支出决算为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10.62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万元，全年共接待来访团组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256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1800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人次，主要是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上级单位来本镇调研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发生的接待支出。</w:t>
      </w:r>
    </w:p>
    <w:p>
      <w:pPr>
        <w:ind w:firstLine="800" w:firstLineChars="250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>3、公务用车购置费及运行维护费支出决算为</w:t>
      </w: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>0.36</w:t>
      </w:r>
      <w:r>
        <w:rPr>
          <w:rFonts w:hint="eastAsia" w:asciiTheme="minorEastAsia" w:hAnsiTheme="minorEastAsia"/>
          <w:sz w:val="32"/>
          <w:szCs w:val="32"/>
          <w:highlight w:val="none"/>
        </w:rPr>
        <w:t>万元，其中：公务用车购置费</w:t>
      </w: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  <w:highlight w:val="none"/>
        </w:rPr>
        <w:t>万元</w:t>
      </w:r>
      <w:r>
        <w:rPr>
          <w:rFonts w:hint="eastAsia" w:asciiTheme="minorEastAsia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sz w:val="32"/>
          <w:szCs w:val="32"/>
          <w:highlight w:val="none"/>
        </w:rPr>
        <w:t>公务用车运行维护费</w:t>
      </w: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>0.36</w:t>
      </w:r>
      <w:r>
        <w:rPr>
          <w:rFonts w:hint="eastAsia" w:asciiTheme="minorEastAsia" w:hAnsiTheme="minorEastAsia"/>
          <w:sz w:val="32"/>
          <w:szCs w:val="32"/>
          <w:highlight w:val="none"/>
        </w:rPr>
        <w:t>万元，主要是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公车油费</w:t>
      </w:r>
      <w:r>
        <w:rPr>
          <w:rFonts w:hint="eastAsia" w:asciiTheme="minorEastAsia" w:hAnsiTheme="minorEastAsia"/>
          <w:sz w:val="32"/>
          <w:szCs w:val="32"/>
          <w:highlight w:val="none"/>
        </w:rPr>
        <w:t>支出，截止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2018年</w:t>
      </w:r>
      <w:r>
        <w:rPr>
          <w:rFonts w:hint="eastAsia" w:asciiTheme="minorEastAsia" w:hAnsiTheme="minorEastAsia"/>
          <w:sz w:val="32"/>
          <w:szCs w:val="32"/>
          <w:highlight w:val="none"/>
        </w:rPr>
        <w:t>12月31日，我单位开支财政拨款的公务用车保有量为</w:t>
      </w: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  <w:highlight w:val="none"/>
        </w:rPr>
        <w:t>辆。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八、政府性基金预算收入支出决算情况</w:t>
      </w:r>
    </w:p>
    <w:p>
      <w:pPr>
        <w:pStyle w:val="10"/>
        <w:rPr>
          <w:rFonts w:hint="eastAsia" w:asciiTheme="minorEastAsia" w:hAnsiTheme="minorEastAsia" w:eastAsia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 xml:space="preserve">     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2018年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度政府性基金预算财政拨款收入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万元；年初结转和结余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446.6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万元；支出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328.68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万元，其中基本支出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328.68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万元；年末结转和结余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117.92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万元。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九、关于</w:t>
      </w:r>
      <w:r>
        <w:rPr>
          <w:rFonts w:hint="eastAsia" w:hAnsi="黑体"/>
          <w:b/>
          <w:sz w:val="32"/>
          <w:szCs w:val="32"/>
          <w:highlight w:val="none"/>
          <w:lang w:eastAsia="zh-CN"/>
        </w:rPr>
        <w:t>2018年</w:t>
      </w:r>
      <w:r>
        <w:rPr>
          <w:rFonts w:hint="eastAsia" w:hAnsi="黑体"/>
          <w:b/>
          <w:sz w:val="32"/>
          <w:szCs w:val="32"/>
          <w:highlight w:val="none"/>
        </w:rPr>
        <w:t>度预算绩效情况说明</w:t>
      </w:r>
    </w:p>
    <w:p>
      <w:pPr>
        <w:pStyle w:val="10"/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本部门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未进行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预算绩效管理、绩效目标和绩效评价报告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。</w:t>
      </w:r>
    </w:p>
    <w:p>
      <w:pPr>
        <w:pStyle w:val="10"/>
        <w:rPr>
          <w:rFonts w:hAnsi="黑体"/>
          <w:b/>
          <w:sz w:val="32"/>
          <w:szCs w:val="32"/>
          <w:highlight w:val="none"/>
        </w:rPr>
      </w:pPr>
      <w:r>
        <w:rPr>
          <w:rFonts w:hint="eastAsia" w:hAnsi="黑体"/>
          <w:b/>
          <w:sz w:val="32"/>
          <w:szCs w:val="32"/>
          <w:highlight w:val="none"/>
        </w:rPr>
        <w:t>十、其他重要事项情况说明</w:t>
      </w:r>
    </w:p>
    <w:p>
      <w:pPr>
        <w:ind w:firstLine="480" w:firstLineChars="150"/>
        <w:rPr>
          <w:rFonts w:cs="黑体" w:asciiTheme="minorEastAsia" w:hAnsiTheme="minorEastAsia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highlight w:val="none"/>
        </w:rPr>
        <w:t>（一）机关运行经费支出情况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本部门201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年度机关运行经费支出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184.82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万元，比年初预算数减少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21.57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万元，降低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11.67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%。主要原因是：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  <w:t>积极实行上级政策，压缩开支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highlight w:val="none"/>
        </w:rPr>
        <w:t>（二）一般性支出情况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eastAsia="zh-CN"/>
        </w:rPr>
        <w:t>2018年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本部门开支会议费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2.61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万元，用于召开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eastAsia="zh-CN"/>
        </w:rPr>
        <w:t>村干部会议、镇村干部去县里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会议，人数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871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人，内容为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eastAsia="zh-CN"/>
        </w:rPr>
        <w:t>学习、传达上级精神，安排村里各项任务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；开支培训费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0.47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万元，用于开展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入党积极分子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培训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cs="黑体" w:asciiTheme="minorEastAsia" w:hAnsiTheme="minorEastAsia"/>
          <w:color w:val="auto"/>
          <w:kern w:val="0"/>
          <w:sz w:val="32"/>
          <w:szCs w:val="32"/>
          <w:highlight w:val="none"/>
        </w:rPr>
        <w:t>人数</w:t>
      </w:r>
      <w:r>
        <w:rPr>
          <w:rFonts w:hint="eastAsia" w:cs="黑体" w:asciiTheme="minorEastAsia" w:hAnsiTheme="minorEastAsia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cs="黑体" w:asciiTheme="minorEastAsia" w:hAnsiTheme="minorEastAsia"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cs="黑体" w:asciiTheme="minorEastAsia" w:hAnsiTheme="minorEastAsia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cs="黑体" w:asciiTheme="minorEastAsia" w:hAnsiTheme="minorEastAsia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highlight w:val="none"/>
        </w:rPr>
        <w:t>（三）政府采购支出情况</w:t>
      </w:r>
    </w:p>
    <w:p>
      <w:pPr>
        <w:ind w:firstLine="640" w:firstLineChars="200"/>
        <w:rPr>
          <w:rFonts w:cs="黑体" w:asciiTheme="minorEastAsia" w:hAnsiTheme="minorEastAsia"/>
          <w:i/>
          <w:color w:val="FF0000"/>
          <w:kern w:val="0"/>
          <w:sz w:val="32"/>
          <w:szCs w:val="32"/>
          <w:highlight w:val="none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本部门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eastAsia="zh-CN"/>
        </w:rPr>
        <w:t>2018年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度政府采购支出总额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18.87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万元，其中：政府采购货物支出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21.68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万元、政府采购工程支出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万元、政府采购服务支出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万元。授予中小企业合同金额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万元，占政府采购支出总额的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%，其中：授予小微企业合同金额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万元，占政府采购支出总额的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%。</w:t>
      </w:r>
    </w:p>
    <w:p>
      <w:pPr>
        <w:ind w:firstLine="480" w:firstLineChars="150"/>
        <w:rPr>
          <w:rFonts w:cs="黑体" w:asciiTheme="minorEastAsia" w:hAnsiTheme="minorEastAsia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highlight w:val="none"/>
        </w:rPr>
        <w:t>（四）国有资产占用情况</w:t>
      </w:r>
    </w:p>
    <w:p>
      <w:pPr>
        <w:ind w:firstLine="640" w:firstLineChars="200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截至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eastAsia="zh-CN"/>
        </w:rPr>
        <w:t>2018年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12月31日，本单位共有车辆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辆，其中，领导干部用车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辆、机要通信用车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辆、应急保障用车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辆、执法执勤用车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辆、特种专业技术用车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辆、其他用车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辆；单位价值50万元以上通用设备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台（套）；单位价值100万元以上专用设备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</w:rPr>
        <w:t>台（套）。</w:t>
      </w:r>
    </w:p>
    <w:p>
      <w:pPr>
        <w:widowControl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  <w:r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  <w:br w:type="page"/>
      </w:r>
    </w:p>
    <w:p>
      <w:pPr>
        <w:ind w:firstLine="640" w:firstLineChars="200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  <w:r>
        <w:rPr>
          <w:rFonts w:hint="eastAsia"/>
          <w:sz w:val="72"/>
          <w:szCs w:val="72"/>
          <w:highlight w:val="none"/>
        </w:rPr>
        <w:t>第</w:t>
      </w:r>
      <w:r>
        <w:rPr>
          <w:rFonts w:hint="eastAsia"/>
          <w:sz w:val="72"/>
          <w:szCs w:val="72"/>
          <w:highlight w:val="none"/>
          <w:lang w:val="en-US" w:eastAsia="zh-CN"/>
        </w:rPr>
        <w:t>三</w:t>
      </w:r>
      <w:r>
        <w:rPr>
          <w:rFonts w:hint="eastAsia"/>
          <w:sz w:val="72"/>
          <w:szCs w:val="72"/>
          <w:highlight w:val="none"/>
        </w:rPr>
        <w:t>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  <w:highlight w:val="none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  <w:highlight w:val="none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  <w:highlight w:val="none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  <w:highlight w:val="none"/>
        </w:rPr>
      </w:pPr>
      <w:r>
        <w:rPr>
          <w:rFonts w:ascii="黑体" w:eastAsia="黑体" w:cs="黑体"/>
          <w:color w:val="000000"/>
          <w:kern w:val="0"/>
          <w:sz w:val="70"/>
          <w:szCs w:val="70"/>
          <w:highlight w:val="none"/>
        </w:rPr>
        <w:br w:type="page"/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widowControl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1、一般公共预算:是对以税收为主体的财政收入，安排用于保障和改善民生、推动经济社会发展、维护国家安全、维持国家机构正常运转等方面的收支预算。</w:t>
      </w:r>
    </w:p>
    <w:p>
      <w:pPr>
        <w:widowControl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2、基本支出：是指为保障单位机构正常运转、完成日常工作任务而发生的各项支出，包括用于基本工资、津贴补贴等人员经费以及办公费、印刷费、水电费、办公设备购置等日常公用经费。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3、项目支出：是指单位为完成财政财务管理工作或事业发展目标而发生的支出。</w:t>
      </w:r>
    </w:p>
    <w:p>
      <w:pPr>
        <w:widowControl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4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widowControl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5、“三公”经费是指用一般公共预算拨款安排的公务接待费、公务用车购置及运行维护费和因公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出入（境）费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。其中，公务接待费反映单位按规定开支的各类公务接待支出；公务用车购置及运行费反映单位公务用车车辆购置支出（含车辆购置税），以及燃料费、维修费、保险费等支出；因公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出入（境）费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反映单位公务出国（境）的国际旅费、国外城市间交通费、食宿费等支出。</w:t>
      </w:r>
    </w:p>
    <w:p>
      <w:pPr>
        <w:widowControl/>
        <w:jc w:val="left"/>
        <w:rPr>
          <w:rFonts w:asciiTheme="minorEastAsia" w:hAnsiTheme="minorEastAsia"/>
          <w:i/>
          <w:color w:val="FF0000"/>
          <w:sz w:val="32"/>
          <w:szCs w:val="32"/>
          <w:highlight w:val="none"/>
        </w:rPr>
      </w:pPr>
      <w:r>
        <w:rPr>
          <w:rFonts w:asciiTheme="minorEastAsia" w:hAnsiTheme="minorEastAsia"/>
          <w:i/>
          <w:color w:val="FF0000"/>
          <w:sz w:val="32"/>
          <w:szCs w:val="32"/>
          <w:highlight w:val="none"/>
        </w:rPr>
        <w:br w:type="page"/>
      </w: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</w:p>
    <w:p>
      <w:pPr>
        <w:pStyle w:val="10"/>
        <w:jc w:val="center"/>
        <w:rPr>
          <w:sz w:val="72"/>
          <w:szCs w:val="72"/>
          <w:highlight w:val="none"/>
        </w:rPr>
      </w:pPr>
      <w:r>
        <w:rPr>
          <w:rFonts w:hint="eastAsia"/>
          <w:sz w:val="72"/>
          <w:szCs w:val="72"/>
          <w:highlight w:val="none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  <w:highlight w:val="none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  <w:highlight w:val="none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  <w:highlight w:val="none"/>
        </w:rPr>
        <w:t>附件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  <w:highlight w:val="none"/>
        </w:rPr>
      </w:pPr>
      <w:r>
        <w:rPr>
          <w:rFonts w:ascii="黑体" w:eastAsia="黑体" w:cs="黑体"/>
          <w:color w:val="000000"/>
          <w:kern w:val="0"/>
          <w:sz w:val="70"/>
          <w:szCs w:val="70"/>
          <w:highlight w:val="none"/>
        </w:rPr>
        <w:br w:type="page"/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  <w:highlight w:val="none"/>
        </w:rPr>
      </w:pPr>
    </w:p>
    <w:p>
      <w:pPr>
        <w:ind w:firstLine="640" w:firstLineChars="200"/>
        <w:jc w:val="center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highlight w:val="none"/>
          <w:lang w:eastAsia="zh-CN"/>
        </w:rPr>
        <w:t>2018年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highlight w:val="none"/>
        </w:rPr>
        <w:t>度部门整体支出绩效评价报告</w:t>
      </w:r>
    </w:p>
    <w:p>
      <w:pPr>
        <w:pStyle w:val="2"/>
        <w:rPr>
          <w:highlight w:val="none"/>
        </w:rPr>
      </w:pPr>
    </w:p>
    <w:p>
      <w:pPr>
        <w:ind w:firstLine="640" w:firstLineChars="200"/>
        <w:jc w:val="left"/>
        <w:rPr>
          <w:rFonts w:hint="default" w:cs="黑体" w:asciiTheme="minorEastAsia" w:hAnsiTheme="minorEastAsia" w:eastAsia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highlight w:val="none"/>
          <w:lang w:eastAsia="zh-CN"/>
        </w:rPr>
        <w:t>本单位未进行2018年度部门整体支出绩效评价。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p>
      <w:pPr>
        <w:ind w:firstLine="56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  <w:r>
        <w:rPr>
          <w:rFonts w:hint="eastAsia" w:hAnsi="仿宋_GB2312"/>
          <w:b/>
          <w:sz w:val="28"/>
          <w:szCs w:val="28"/>
          <w:highlight w:val="none"/>
          <w:lang w:val="en-US" w:eastAsia="zh-CN"/>
        </w:rPr>
        <w:t>附：</w:t>
      </w:r>
      <w:r>
        <w:rPr>
          <w:rFonts w:hint="eastAsia" w:hAnsi="仿宋_GB2312"/>
          <w:b/>
          <w:sz w:val="28"/>
          <w:szCs w:val="28"/>
          <w:highlight w:val="none"/>
          <w:lang w:eastAsia="zh-CN"/>
        </w:rPr>
        <w:t>2018年</w:t>
      </w:r>
      <w:r>
        <w:rPr>
          <w:rFonts w:hint="eastAsia" w:hAnsi="仿宋_GB2312"/>
          <w:b/>
          <w:sz w:val="28"/>
          <w:szCs w:val="28"/>
          <w:highlight w:val="none"/>
        </w:rPr>
        <w:t>度部门决算表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9AE14A"/>
    <w:multiLevelType w:val="singleLevel"/>
    <w:tmpl w:val="B49AE14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5086902"/>
    <w:multiLevelType w:val="singleLevel"/>
    <w:tmpl w:val="250869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15B7"/>
    <w:rsid w:val="000658A3"/>
    <w:rsid w:val="00074155"/>
    <w:rsid w:val="000A3F69"/>
    <w:rsid w:val="00135EF3"/>
    <w:rsid w:val="00152C6D"/>
    <w:rsid w:val="00162D39"/>
    <w:rsid w:val="001A67DB"/>
    <w:rsid w:val="001D51E5"/>
    <w:rsid w:val="001F0C3B"/>
    <w:rsid w:val="00214427"/>
    <w:rsid w:val="00265724"/>
    <w:rsid w:val="0027426B"/>
    <w:rsid w:val="003479BD"/>
    <w:rsid w:val="003768D5"/>
    <w:rsid w:val="004506F9"/>
    <w:rsid w:val="004717A2"/>
    <w:rsid w:val="00491741"/>
    <w:rsid w:val="00500E5F"/>
    <w:rsid w:val="005122EF"/>
    <w:rsid w:val="00517C33"/>
    <w:rsid w:val="00523644"/>
    <w:rsid w:val="0054069E"/>
    <w:rsid w:val="005767CC"/>
    <w:rsid w:val="00590D9F"/>
    <w:rsid w:val="00595D26"/>
    <w:rsid w:val="005A74E6"/>
    <w:rsid w:val="005D4D55"/>
    <w:rsid w:val="005E2CFB"/>
    <w:rsid w:val="0062378F"/>
    <w:rsid w:val="00651EEC"/>
    <w:rsid w:val="006A351B"/>
    <w:rsid w:val="006B0422"/>
    <w:rsid w:val="006C1B53"/>
    <w:rsid w:val="006D7730"/>
    <w:rsid w:val="006E5284"/>
    <w:rsid w:val="006F3EB5"/>
    <w:rsid w:val="00702E34"/>
    <w:rsid w:val="00704395"/>
    <w:rsid w:val="00720FF1"/>
    <w:rsid w:val="00812ED5"/>
    <w:rsid w:val="008277D9"/>
    <w:rsid w:val="008A3E8D"/>
    <w:rsid w:val="009237C4"/>
    <w:rsid w:val="00950252"/>
    <w:rsid w:val="00967F5D"/>
    <w:rsid w:val="009A0F95"/>
    <w:rsid w:val="009B3ADF"/>
    <w:rsid w:val="009C3B52"/>
    <w:rsid w:val="00A42218"/>
    <w:rsid w:val="00A70249"/>
    <w:rsid w:val="00B33BEA"/>
    <w:rsid w:val="00B57C9F"/>
    <w:rsid w:val="00B845B3"/>
    <w:rsid w:val="00B85D8B"/>
    <w:rsid w:val="00BE3674"/>
    <w:rsid w:val="00C3049A"/>
    <w:rsid w:val="00C31B1E"/>
    <w:rsid w:val="00C77645"/>
    <w:rsid w:val="00CE04C3"/>
    <w:rsid w:val="00CE76A0"/>
    <w:rsid w:val="00D148C6"/>
    <w:rsid w:val="00DD06FF"/>
    <w:rsid w:val="00DD5FE9"/>
    <w:rsid w:val="00E00C7A"/>
    <w:rsid w:val="00E55B68"/>
    <w:rsid w:val="00F74360"/>
    <w:rsid w:val="00FB462F"/>
    <w:rsid w:val="00FE16FA"/>
    <w:rsid w:val="00FE328A"/>
    <w:rsid w:val="08944D2E"/>
    <w:rsid w:val="0B2870FD"/>
    <w:rsid w:val="16810EEE"/>
    <w:rsid w:val="174C53BF"/>
    <w:rsid w:val="19230549"/>
    <w:rsid w:val="1ADF497F"/>
    <w:rsid w:val="2AFE5558"/>
    <w:rsid w:val="34764A11"/>
    <w:rsid w:val="366A7BF2"/>
    <w:rsid w:val="376D5241"/>
    <w:rsid w:val="38A22150"/>
    <w:rsid w:val="396131F7"/>
    <w:rsid w:val="45992C4F"/>
    <w:rsid w:val="4F2D110B"/>
    <w:rsid w:val="69D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A967F-99A7-44AE-8CB3-A0222E97A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1258</Words>
  <Characters>7176</Characters>
  <Lines>59</Lines>
  <Paragraphs>16</Paragraphs>
  <TotalTime>0</TotalTime>
  <ScaleCrop>false</ScaleCrop>
  <LinksUpToDate>false</LinksUpToDate>
  <CharactersWithSpaces>8418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Administrator</cp:lastModifiedBy>
  <cp:lastPrinted>2020-07-15T07:25:00Z</cp:lastPrinted>
  <dcterms:modified xsi:type="dcterms:W3CDTF">2021-06-07T01:42:07Z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