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eastAsia="楷体_GB2312"/>
          <w:bCs/>
          <w:kern w:val="0"/>
          <w:sz w:val="32"/>
          <w:szCs w:val="32"/>
        </w:rPr>
      </w:pPr>
      <w:r>
        <w:rPr>
          <w:rFonts w:hint="eastAsia" w:eastAsia="方正小标宋_GBK"/>
          <w:bCs/>
          <w:kern w:val="0"/>
          <w:sz w:val="36"/>
          <w:szCs w:val="36"/>
        </w:rPr>
        <w:t>20</w:t>
      </w:r>
      <w:r>
        <w:rPr>
          <w:rFonts w:hint="eastAsia" w:eastAsia="方正小标宋_GBK"/>
          <w:bCs/>
          <w:kern w:val="0"/>
          <w:sz w:val="36"/>
          <w:szCs w:val="36"/>
          <w:lang w:val="en-US" w:eastAsia="zh-CN"/>
        </w:rPr>
        <w:t>19</w:t>
      </w:r>
      <w:r>
        <w:rPr>
          <w:rFonts w:eastAsia="方正小标宋_GBK"/>
          <w:bCs/>
          <w:kern w:val="0"/>
          <w:sz w:val="36"/>
          <w:szCs w:val="36"/>
        </w:rPr>
        <w:t>年部门整体支出绩效目标表</w:t>
      </w:r>
    </w:p>
    <w:p>
      <w:pPr>
        <w:widowControl/>
        <w:tabs>
          <w:tab w:val="left" w:pos="2355"/>
        </w:tabs>
        <w:jc w:val="left"/>
        <w:rPr>
          <w:rFonts w:ascii="仿宋_GB2312" w:eastAsia="仿宋_GB2312"/>
          <w:kern w:val="0"/>
          <w:szCs w:val="21"/>
        </w:rPr>
      </w:pPr>
      <w:r>
        <w:rPr>
          <w:rFonts w:hint="eastAsia" w:ascii="仿宋_GB2312" w:eastAsia="仿宋_GB2312"/>
          <w:kern w:val="0"/>
          <w:sz w:val="24"/>
          <w:szCs w:val="21"/>
        </w:rPr>
        <w:t xml:space="preserve"> 填报单位：（盖章）</w:t>
      </w:r>
      <w:r>
        <w:rPr>
          <w:rFonts w:hint="eastAsia" w:ascii="仿宋_GB2312" w:eastAsia="仿宋_GB2312"/>
          <w:kern w:val="0"/>
          <w:szCs w:val="21"/>
        </w:rPr>
        <w:tab/>
      </w:r>
      <w:r>
        <w:rPr>
          <w:rFonts w:hint="eastAsia" w:ascii="仿宋_GB2312" w:eastAsia="仿宋_GB2312"/>
          <w:kern w:val="0"/>
          <w:szCs w:val="21"/>
        </w:rPr>
        <w:t>衡东县农业农村信息服务中心</w:t>
      </w:r>
    </w:p>
    <w:tbl>
      <w:tblPr>
        <w:tblStyle w:val="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1134"/>
        <w:gridCol w:w="2298"/>
        <w:gridCol w:w="167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部门名称</w:t>
            </w:r>
          </w:p>
        </w:tc>
        <w:tc>
          <w:tcPr>
            <w:tcW w:w="8307" w:type="dxa"/>
            <w:gridSpan w:val="5"/>
            <w:vAlign w:val="center"/>
          </w:tcPr>
          <w:p>
            <w:pPr>
              <w:widowControl/>
              <w:jc w:val="center"/>
              <w:rPr>
                <w:rFonts w:ascii="仿宋_GB2312" w:eastAsia="仿宋_GB2312"/>
                <w:kern w:val="0"/>
                <w:szCs w:val="21"/>
              </w:rPr>
            </w:pPr>
            <w:r>
              <w:rPr>
                <w:rFonts w:hint="eastAsia" w:ascii="仿宋_GB2312" w:eastAsia="仿宋_GB2312"/>
                <w:kern w:val="0"/>
                <w:szCs w:val="21"/>
              </w:rPr>
              <w:t>衡东县农业农村信息服务中心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8307" w:type="dxa"/>
            <w:gridSpan w:val="5"/>
            <w:vAlign w:val="center"/>
          </w:tcPr>
          <w:p>
            <w:pPr>
              <w:widowControl/>
              <w:jc w:val="left"/>
              <w:rPr>
                <w:rFonts w:ascii="仿宋_GB2312" w:eastAsia="仿宋_GB2312"/>
                <w:kern w:val="0"/>
                <w:szCs w:val="21"/>
              </w:rPr>
            </w:pPr>
            <w:r>
              <w:rPr>
                <w:rFonts w:hint="eastAsia" w:ascii="仿宋_GB2312" w:eastAsia="仿宋_GB2312"/>
                <w:kern w:val="0"/>
                <w:szCs w:val="21"/>
              </w:rPr>
              <w:t>资金总额：</w:t>
            </w:r>
            <w:r>
              <w:rPr>
                <w:rFonts w:hint="eastAsia" w:ascii="仿宋_GB2312" w:eastAsia="仿宋_GB2312"/>
                <w:kern w:val="0"/>
                <w:szCs w:val="21"/>
                <w:lang w:val="en-US" w:eastAsia="zh-CN"/>
              </w:rPr>
              <w:t>228</w:t>
            </w:r>
            <w:r>
              <w:rPr>
                <w:rFonts w:hint="eastAsia" w:ascii="仿宋_GB2312" w:eastAsia="仿宋_GB2312"/>
                <w:kern w:val="0"/>
                <w:szCs w:val="21"/>
              </w:rPr>
              <w:t>.</w:t>
            </w:r>
            <w:r>
              <w:rPr>
                <w:rFonts w:hint="eastAsia" w:ascii="仿宋_GB2312" w:eastAsia="仿宋_GB2312"/>
                <w:kern w:val="0"/>
                <w:szCs w:val="21"/>
                <w:lang w:val="en-US" w:eastAsia="zh-CN"/>
              </w:rPr>
              <w:t>49</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按收入性质分：</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其中：  一般公共预算：</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其中： 基本支出：1</w:t>
            </w:r>
            <w:r>
              <w:rPr>
                <w:rFonts w:hint="eastAsia" w:ascii="仿宋_GB2312" w:eastAsia="仿宋_GB2312"/>
                <w:kern w:val="0"/>
                <w:szCs w:val="21"/>
                <w:lang w:val="en-US" w:eastAsia="zh-CN"/>
              </w:rPr>
              <w:t>88</w:t>
            </w:r>
            <w:r>
              <w:rPr>
                <w:rFonts w:hint="eastAsia" w:ascii="仿宋_GB2312" w:eastAsia="仿宋_GB2312"/>
                <w:kern w:val="0"/>
                <w:szCs w:val="21"/>
              </w:rPr>
              <w:t>.</w:t>
            </w:r>
            <w:r>
              <w:rPr>
                <w:rFonts w:hint="eastAsia" w:ascii="仿宋_GB2312" w:eastAsia="仿宋_GB2312"/>
                <w:kern w:val="0"/>
                <w:szCs w:val="21"/>
                <w:lang w:val="en-US" w:eastAsia="zh-CN"/>
              </w:rPr>
              <w:t>49</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4</w:t>
            </w:r>
            <w:r>
              <w:rPr>
                <w:rFonts w:hint="eastAsia" w:ascii="仿宋_GB2312" w:eastAsia="仿宋_GB2312"/>
                <w:kern w:val="0"/>
                <w:szCs w:val="21"/>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其他资金：</w:t>
            </w:r>
          </w:p>
        </w:tc>
        <w:tc>
          <w:tcPr>
            <w:tcW w:w="3741" w:type="dxa"/>
            <w:gridSpan w:val="2"/>
            <w:vAlign w:val="center"/>
          </w:tcPr>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部门职能</w:t>
            </w:r>
          </w:p>
          <w:p>
            <w:pPr>
              <w:widowControl/>
              <w:jc w:val="center"/>
              <w:rPr>
                <w:rFonts w:ascii="仿宋_GB2312" w:eastAsia="仿宋_GB2312"/>
                <w:kern w:val="0"/>
                <w:szCs w:val="21"/>
              </w:rPr>
            </w:pPr>
            <w:r>
              <w:rPr>
                <w:rFonts w:hint="eastAsia" w:ascii="仿宋_GB2312" w:eastAsia="仿宋_GB2312"/>
                <w:kern w:val="0"/>
                <w:szCs w:val="21"/>
              </w:rPr>
              <w:t>职责概述</w:t>
            </w:r>
          </w:p>
        </w:tc>
        <w:tc>
          <w:tcPr>
            <w:tcW w:w="8307" w:type="dxa"/>
            <w:gridSpan w:val="5"/>
            <w:vAlign w:val="center"/>
          </w:tcPr>
          <w:p>
            <w:pPr>
              <w:pStyle w:val="5"/>
              <w:spacing w:before="0" w:beforeAutospacing="0" w:after="0" w:afterAutospacing="0" w:line="560" w:lineRule="atLeast"/>
              <w:ind w:firstLine="480" w:firstLineChars="200"/>
              <w:jc w:val="both"/>
            </w:pPr>
            <w:r>
              <w:rPr>
                <w:rFonts w:hint="eastAsia" w:ascii="仿宋_GB2312" w:eastAsia="仿宋_GB2312"/>
                <w:color w:val="000000"/>
              </w:rPr>
              <w:t>（一）负责组织调查全县农村基础设施情况，编制全县农田基本建设总体规划，中长期规划，建立项目库。</w:t>
            </w:r>
          </w:p>
          <w:p>
            <w:pPr>
              <w:pStyle w:val="5"/>
              <w:spacing w:before="0" w:beforeAutospacing="0" w:after="0" w:afterAutospacing="0" w:line="560" w:lineRule="atLeast"/>
              <w:ind w:left="125" w:firstLine="360" w:firstLineChars="150"/>
              <w:jc w:val="both"/>
            </w:pPr>
            <w:r>
              <w:rPr>
                <w:rFonts w:hint="eastAsia" w:ascii="仿宋_GB2312" w:eastAsia="仿宋_GB2312"/>
                <w:color w:val="000000"/>
              </w:rPr>
              <w:t xml:space="preserve">（二）负责组织全县农田基本建设项目立项前的实地勘察和评估论证，年度计划的编制、审查和报批，项目实施中的检查、监督的指导，项目建成后的验收、结算。 </w:t>
            </w:r>
          </w:p>
          <w:p>
            <w:pPr>
              <w:pStyle w:val="5"/>
              <w:spacing w:before="0" w:beforeAutospacing="0" w:after="0" w:afterAutospacing="0" w:line="560" w:lineRule="atLeast"/>
              <w:ind w:firstLine="420"/>
              <w:jc w:val="both"/>
            </w:pPr>
            <w:r>
              <w:rPr>
                <w:rFonts w:hint="eastAsia" w:ascii="仿宋_GB2312" w:eastAsia="仿宋_GB2312"/>
                <w:color w:val="000000"/>
              </w:rPr>
              <w:t>（三）负责组织全县农田基本建设项目招投标和工程监理工作，项目实施全过程的指导及建后管护。</w:t>
            </w:r>
          </w:p>
          <w:p>
            <w:pPr>
              <w:pStyle w:val="5"/>
              <w:spacing w:before="0" w:beforeAutospacing="0" w:after="0" w:afterAutospacing="0" w:line="560" w:lineRule="atLeast"/>
              <w:ind w:firstLine="420"/>
              <w:jc w:val="both"/>
            </w:pPr>
            <w:r>
              <w:rPr>
                <w:rFonts w:hint="eastAsia" w:ascii="仿宋_GB2312" w:eastAsia="仿宋_GB2312"/>
                <w:color w:val="000000"/>
              </w:rPr>
              <w:t>（四）负责组织农田基本建设项目的资金使用；编制财政投入农田基本建设项目的年度预算和决算；办理项目资金年度拨款、借款事项，配合审计部门开展项目资金审计工作。</w:t>
            </w:r>
          </w:p>
          <w:p>
            <w:pPr>
              <w:pStyle w:val="5"/>
              <w:spacing w:before="0" w:beforeAutospacing="0" w:after="0" w:afterAutospacing="0" w:line="560" w:lineRule="atLeast"/>
              <w:ind w:firstLine="420"/>
              <w:jc w:val="both"/>
            </w:pPr>
            <w:r>
              <w:rPr>
                <w:rFonts w:hint="eastAsia" w:ascii="仿宋_GB2312" w:eastAsia="仿宋_GB2312"/>
                <w:color w:val="000000"/>
              </w:rPr>
              <w:t>（五）负责编报全县农田基本建设项目工程资金统计报表、分析项目计划执行和资金使用情况，监测评价资金的使用效益。</w:t>
            </w:r>
          </w:p>
          <w:p>
            <w:pPr>
              <w:pStyle w:val="5"/>
              <w:spacing w:before="0" w:beforeAutospacing="0" w:after="0" w:afterAutospacing="0" w:line="560" w:lineRule="atLeast"/>
              <w:ind w:firstLine="420"/>
              <w:jc w:val="both"/>
            </w:pPr>
            <w:r>
              <w:rPr>
                <w:rFonts w:hint="eastAsia" w:ascii="仿宋_GB2312" w:eastAsia="仿宋_GB2312"/>
                <w:color w:val="000000"/>
              </w:rPr>
              <w:t>（六）负责组织在农田基本建设项目区示范推广先进农业科技成果和实用技术，提高农田基本设施的科技含量。</w:t>
            </w:r>
          </w:p>
          <w:p>
            <w:pPr>
              <w:pStyle w:val="5"/>
              <w:spacing w:before="0" w:beforeAutospacing="0" w:after="0" w:afterAutospacing="0" w:line="560" w:lineRule="atLeast"/>
              <w:ind w:firstLine="420"/>
              <w:jc w:val="both"/>
            </w:pPr>
            <w:r>
              <w:rPr>
                <w:rFonts w:hint="eastAsia" w:ascii="仿宋_GB2312" w:eastAsia="仿宋_GB2312"/>
                <w:color w:val="000000"/>
              </w:rPr>
              <w:t>（七）负责组织开展农田基本建设宣传调研和综合信息上报工作，搞好本中心信息系统的建设与管理。</w:t>
            </w:r>
          </w:p>
          <w:p>
            <w:pPr>
              <w:pStyle w:val="5"/>
              <w:spacing w:before="0" w:beforeAutospacing="0" w:after="0" w:afterAutospacing="0"/>
              <w:ind w:firstLine="480" w:firstLineChars="200"/>
              <w:jc w:val="both"/>
            </w:pPr>
            <w:r>
              <w:rPr>
                <w:rFonts w:hint="eastAsia" w:ascii="仿宋_GB2312" w:eastAsia="仿宋_GB2312"/>
                <w:color w:val="000000"/>
              </w:rPr>
              <w:t>(八）完成县委、县政府、县农业农村局交办的其他任务。</w:t>
            </w:r>
          </w:p>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整体绩效目标</w:t>
            </w:r>
          </w:p>
        </w:tc>
        <w:tc>
          <w:tcPr>
            <w:tcW w:w="8307" w:type="dxa"/>
            <w:gridSpan w:val="5"/>
            <w:vAlign w:val="center"/>
          </w:tcPr>
          <w:p>
            <w:pPr>
              <w:pStyle w:val="4"/>
              <w:widowControl/>
              <w:numPr>
                <w:ilvl w:val="0"/>
                <w:numId w:val="1"/>
              </w:numPr>
              <w:ind w:left="780" w:leftChars="0" w:firstLineChars="0"/>
              <w:jc w:val="left"/>
              <w:rPr>
                <w:rFonts w:ascii="仿宋_GB2312" w:eastAsia="仿宋_GB2312"/>
                <w:kern w:val="0"/>
                <w:szCs w:val="21"/>
              </w:rPr>
            </w:pPr>
            <w:r>
              <w:rPr>
                <w:rFonts w:hint="eastAsia" w:ascii="仿宋_GB2312" w:eastAsia="仿宋_GB2312"/>
                <w:kern w:val="0"/>
                <w:szCs w:val="21"/>
              </w:rPr>
              <w:t>通过预算执行，保证本单位工作的正常运转。</w:t>
            </w:r>
          </w:p>
          <w:p>
            <w:pPr>
              <w:pStyle w:val="4"/>
              <w:widowControl/>
              <w:numPr>
                <w:ilvl w:val="0"/>
                <w:numId w:val="1"/>
              </w:numPr>
              <w:ind w:left="780" w:leftChars="0" w:firstLineChars="0"/>
              <w:jc w:val="left"/>
              <w:rPr>
                <w:rFonts w:ascii="仿宋_GB2312" w:eastAsia="仿宋_GB2312"/>
                <w:kern w:val="0"/>
                <w:szCs w:val="21"/>
              </w:rPr>
            </w:pPr>
            <w:r>
              <w:rPr>
                <w:rFonts w:hint="eastAsia" w:ascii="仿宋_GB2312" w:eastAsia="仿宋_GB2312"/>
                <w:kern w:val="0"/>
                <w:szCs w:val="21"/>
              </w:rPr>
              <w:t>通过项目的前期工作完善，积极推进高标准农田项目的发展，建设新时代农村，为县委、县政府有关农业发展提供决策依据。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部门整体支出</w:t>
            </w:r>
          </w:p>
          <w:p>
            <w:pPr>
              <w:jc w:val="center"/>
              <w:rPr>
                <w:rFonts w:ascii="仿宋_GB2312" w:eastAsia="仿宋_GB2312"/>
                <w:kern w:val="0"/>
                <w:szCs w:val="21"/>
              </w:rPr>
            </w:pPr>
            <w:r>
              <w:rPr>
                <w:rFonts w:hint="eastAsia" w:ascii="仿宋_GB2312" w:eastAsia="仿宋_GB2312"/>
                <w:kern w:val="0"/>
                <w:szCs w:val="21"/>
              </w:rPr>
              <w:t>年度绩效指标</w:t>
            </w:r>
          </w:p>
        </w:tc>
        <w:tc>
          <w:tcPr>
            <w:tcW w:w="1134" w:type="dxa"/>
            <w:vAlign w:val="center"/>
          </w:tcPr>
          <w:p>
            <w:pPr>
              <w:widowControl/>
              <w:jc w:val="center"/>
              <w:rPr>
                <w:rFonts w:ascii="仿宋_GB2312" w:eastAsia="仿宋_GB2312"/>
                <w:kern w:val="0"/>
                <w:szCs w:val="21"/>
              </w:rPr>
            </w:pPr>
            <w:r>
              <w:rPr>
                <w:rFonts w:hint="eastAsia" w:ascii="仿宋_GB2312" w:eastAsia="仿宋_GB2312"/>
                <w:kern w:val="0"/>
                <w:szCs w:val="21"/>
              </w:rPr>
              <w:t>一级指标</w:t>
            </w:r>
          </w:p>
        </w:tc>
        <w:tc>
          <w:tcPr>
            <w:tcW w:w="1134" w:type="dxa"/>
            <w:vAlign w:val="center"/>
          </w:tcPr>
          <w:p>
            <w:pPr>
              <w:widowControl/>
              <w:jc w:val="center"/>
              <w:rPr>
                <w:rFonts w:ascii="仿宋_GB2312" w:eastAsia="仿宋_GB2312"/>
                <w:kern w:val="0"/>
                <w:szCs w:val="21"/>
              </w:rPr>
            </w:pPr>
            <w:r>
              <w:rPr>
                <w:rFonts w:hint="eastAsia" w:ascii="仿宋_GB2312" w:eastAsia="仿宋_GB2312"/>
                <w:kern w:val="0"/>
                <w:szCs w:val="21"/>
              </w:rPr>
              <w:t>二级指标</w:t>
            </w:r>
          </w:p>
        </w:tc>
        <w:tc>
          <w:tcPr>
            <w:tcW w:w="3969" w:type="dxa"/>
            <w:gridSpan w:val="2"/>
            <w:vAlign w:val="center"/>
          </w:tcPr>
          <w:p>
            <w:pPr>
              <w:widowControl/>
              <w:jc w:val="center"/>
              <w:rPr>
                <w:rFonts w:ascii="仿宋_GB2312" w:eastAsia="仿宋_GB2312"/>
                <w:kern w:val="0"/>
                <w:szCs w:val="21"/>
              </w:rPr>
            </w:pPr>
            <w:r>
              <w:rPr>
                <w:rFonts w:hint="eastAsia" w:ascii="仿宋_GB2312" w:eastAsia="仿宋_GB2312"/>
                <w:kern w:val="0"/>
                <w:szCs w:val="21"/>
              </w:rPr>
              <w:t>三级指标</w:t>
            </w:r>
          </w:p>
        </w:tc>
        <w:tc>
          <w:tcPr>
            <w:tcW w:w="2070" w:type="dxa"/>
            <w:vAlign w:val="center"/>
          </w:tcPr>
          <w:p>
            <w:pPr>
              <w:widowControl/>
              <w:jc w:val="center"/>
              <w:rPr>
                <w:rFonts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产出指标</w:t>
            </w: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数量指标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本单位财政供养人员</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在职人数</w:t>
            </w:r>
            <w:r>
              <w:rPr>
                <w:rFonts w:hint="eastAsia" w:ascii="仿宋_GB2312" w:eastAsia="仿宋_GB2312"/>
                <w:kern w:val="0"/>
                <w:szCs w:val="21"/>
                <w:lang w:val="en-US" w:eastAsia="zh-CN"/>
              </w:rPr>
              <w:t>22</w:t>
            </w:r>
            <w:r>
              <w:rPr>
                <w:rFonts w:hint="eastAsia" w:ascii="仿宋_GB2312" w:eastAsia="仿宋_GB2312"/>
                <w:kern w:val="0"/>
                <w:szCs w:val="21"/>
              </w:rPr>
              <w:t>人，退休人员1</w:t>
            </w:r>
            <w:r>
              <w:rPr>
                <w:rFonts w:hint="eastAsia" w:ascii="仿宋_GB2312" w:eastAsia="仿宋_GB2312"/>
                <w:kern w:val="0"/>
                <w:szCs w:val="21"/>
                <w:lang w:val="en-US" w:eastAsia="zh-CN"/>
              </w:rPr>
              <w:t>3</w:t>
            </w:r>
            <w:r>
              <w:rPr>
                <w:rFonts w:hint="eastAsia" w:ascii="仿宋_GB2312" w:eastAsia="仿宋_GB2312"/>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部门单位履职、运转</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党建、信访、安全维稳、安全生产等工作正常开展</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lang w:eastAsia="zh-CN"/>
              </w:rPr>
              <w:t>年内</w:t>
            </w:r>
            <w:r>
              <w:rPr>
                <w:rFonts w:hint="eastAsia" w:ascii="仿宋_GB2312" w:eastAsia="仿宋_GB2312"/>
                <w:kern w:val="0"/>
                <w:szCs w:val="21"/>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高标准农田项目前期规划、设计、评审等工作经费</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初步设计包括（初步设计报告、初步预算、初步设计图集）三本、实施方案一本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质量指标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在职人员控制率</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公用经费控制率</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通过高标准农田项目前期工作</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经过市级评审通过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成本指标</w:t>
            </w:r>
          </w:p>
        </w:tc>
        <w:tc>
          <w:tcPr>
            <w:tcW w:w="3969" w:type="dxa"/>
            <w:gridSpan w:val="2"/>
            <w:vAlign w:val="center"/>
          </w:tcPr>
          <w:p>
            <w:pPr>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人员经费支出</w:t>
            </w:r>
          </w:p>
        </w:tc>
        <w:tc>
          <w:tcPr>
            <w:tcW w:w="2070" w:type="dxa"/>
            <w:vAlign w:val="center"/>
          </w:tcPr>
          <w:p>
            <w:pPr>
              <w:jc w:val="center"/>
              <w:rPr>
                <w:rFonts w:hint="default" w:ascii="仿宋_GB2312" w:eastAsia="仿宋"/>
                <w:kern w:val="0"/>
                <w:szCs w:val="21"/>
                <w:lang w:val="en-US" w:eastAsia="zh-CN"/>
              </w:rPr>
            </w:pPr>
            <w:r>
              <w:rPr>
                <w:rFonts w:hint="eastAsia" w:ascii="仿宋" w:hAnsi="仿宋" w:eastAsia="仿宋"/>
                <w:kern w:val="0"/>
                <w:szCs w:val="21"/>
              </w:rPr>
              <w:t>≤</w:t>
            </w:r>
            <w:r>
              <w:rPr>
                <w:rFonts w:hint="eastAsia" w:ascii="仿宋" w:hAnsi="仿宋" w:eastAsia="仿宋"/>
                <w:kern w:val="0"/>
                <w:szCs w:val="21"/>
                <w:lang w:val="en-US" w:eastAsia="zh-CN"/>
              </w:rPr>
              <w:t>161.67万元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公用经费支出</w:t>
            </w:r>
          </w:p>
        </w:tc>
        <w:tc>
          <w:tcPr>
            <w:tcW w:w="2070" w:type="dxa"/>
            <w:vAlign w:val="center"/>
          </w:tcPr>
          <w:p>
            <w:pPr>
              <w:jc w:val="center"/>
              <w:rPr>
                <w:rFonts w:hint="default" w:ascii="仿宋_GB2312" w:eastAsia="仿宋"/>
                <w:kern w:val="0"/>
                <w:szCs w:val="21"/>
                <w:lang w:val="en-US" w:eastAsia="zh-CN"/>
              </w:rPr>
            </w:pPr>
            <w:r>
              <w:rPr>
                <w:rFonts w:hint="eastAsia" w:ascii="仿宋" w:hAnsi="仿宋" w:eastAsia="仿宋"/>
                <w:kern w:val="0"/>
                <w:szCs w:val="21"/>
              </w:rPr>
              <w:t>≤</w:t>
            </w:r>
            <w:r>
              <w:rPr>
                <w:rFonts w:hint="eastAsia" w:ascii="仿宋" w:hAnsi="仿宋" w:eastAsia="仿宋"/>
                <w:kern w:val="0"/>
                <w:szCs w:val="21"/>
                <w:lang w:val="en-US" w:eastAsia="zh-CN"/>
              </w:rPr>
              <w:t>26.82万元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高标准农田项目前期规划、设计、评审等工作经费</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w:t>
            </w:r>
            <w:r>
              <w:rPr>
                <w:rFonts w:hint="eastAsia" w:ascii="仿宋_GB2312" w:eastAsia="仿宋_GB2312"/>
                <w:kern w:val="0"/>
                <w:szCs w:val="21"/>
                <w:lang w:val="en-US" w:eastAsia="zh-CN"/>
              </w:rPr>
              <w:t>40</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时效指标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年度内及时完成县委、政府及局领导交办的各项任务</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高标准农田项目前期工作</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lang w:val="en-US" w:eastAsia="zh-CN"/>
              </w:rPr>
              <w:t>争取2019年11</w:t>
            </w:r>
            <w:r>
              <w:rPr>
                <w:rFonts w:hint="eastAsia" w:ascii="仿宋_GB2312" w:eastAsia="仿宋_GB2312"/>
                <w:kern w:val="0"/>
                <w:szCs w:val="21"/>
              </w:rPr>
              <w:t>月</w:t>
            </w:r>
            <w:r>
              <w:rPr>
                <w:rFonts w:hint="eastAsia" w:ascii="仿宋_GB2312" w:eastAsia="仿宋_GB2312"/>
                <w:kern w:val="0"/>
                <w:szCs w:val="21"/>
                <w:lang w:eastAsia="zh-CN"/>
              </w:rPr>
              <w:t>以前</w:t>
            </w:r>
            <w:r>
              <w:rPr>
                <w:rFonts w:hint="eastAsia" w:ascii="仿宋_GB2312" w:eastAsia="仿宋_GB2312"/>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效益指标</w:t>
            </w: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经济效益指标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1、水稻生产能力预计可增加</w:t>
            </w:r>
          </w:p>
        </w:tc>
        <w:tc>
          <w:tcPr>
            <w:tcW w:w="2070" w:type="dxa"/>
            <w:vAlign w:val="center"/>
          </w:tcPr>
          <w:p>
            <w:pPr>
              <w:rPr>
                <w:rFonts w:ascii="仿宋_GB2312" w:eastAsia="仿宋_GB2312"/>
                <w:kern w:val="0"/>
                <w:szCs w:val="21"/>
              </w:rPr>
            </w:pPr>
            <w:r>
              <w:rPr>
                <w:rFonts w:hint="eastAsia" w:ascii="宋体" w:hAnsi="宋体" w:cs="宋体"/>
                <w:kern w:val="0"/>
                <w:szCs w:val="21"/>
              </w:rPr>
              <w:t>≧</w:t>
            </w:r>
            <w:r>
              <w:rPr>
                <w:rFonts w:hint="eastAsia" w:ascii="仿宋_GB2312" w:eastAsia="仿宋_GB2312"/>
                <w:kern w:val="0"/>
                <w:szCs w:val="21"/>
                <w:lang w:val="en-US" w:eastAsia="zh-CN"/>
              </w:rPr>
              <w:t>387</w:t>
            </w:r>
            <w:r>
              <w:rPr>
                <w:rFonts w:hint="eastAsia" w:ascii="仿宋_GB2312" w:eastAsia="仿宋_GB2312"/>
                <w:kern w:val="0"/>
                <w:szCs w:val="21"/>
              </w:rPr>
              <w:t>万公斤</w:t>
            </w:r>
            <w:r>
              <w:rPr>
                <w:rFonts w:hint="eastAsia" w:ascii="宋体" w:hAnsi="宋体" w:cs="宋体"/>
                <w:kern w:val="0"/>
                <w:szCs w:val="21"/>
              </w:rPr>
              <w:t>，</w:t>
            </w:r>
            <w:r>
              <w:rPr>
                <w:rFonts w:hint="eastAsia" w:ascii="仿宋_GB2312" w:eastAsia="仿宋_GB2312"/>
                <w:kern w:val="0"/>
                <w:szCs w:val="21"/>
              </w:rPr>
              <w:t>1</w:t>
            </w:r>
            <w:r>
              <w:rPr>
                <w:rFonts w:hint="eastAsia" w:ascii="仿宋_GB2312" w:eastAsia="仿宋_GB2312"/>
                <w:kern w:val="0"/>
                <w:szCs w:val="21"/>
                <w:lang w:val="en-US" w:eastAsia="zh-CN"/>
              </w:rPr>
              <w:t>114</w:t>
            </w:r>
            <w:r>
              <w:rPr>
                <w:rFonts w:hint="eastAsia" w:ascii="仿宋_GB2312" w:eastAsia="仿宋_GB2312"/>
                <w:kern w:val="0"/>
                <w:szCs w:val="21"/>
              </w:rPr>
              <w:t>.</w:t>
            </w:r>
            <w:r>
              <w:rPr>
                <w:rFonts w:hint="eastAsia" w:ascii="仿宋_GB2312" w:eastAsia="仿宋_GB2312"/>
                <w:kern w:val="0"/>
                <w:szCs w:val="21"/>
                <w:lang w:val="en-US" w:eastAsia="zh-CN"/>
              </w:rPr>
              <w:t>56</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2、油菜生产能力预计可增加</w:t>
            </w:r>
          </w:p>
        </w:tc>
        <w:tc>
          <w:tcPr>
            <w:tcW w:w="2070" w:type="dxa"/>
            <w:vAlign w:val="center"/>
          </w:tcPr>
          <w:p>
            <w:pPr>
              <w:rPr>
                <w:rFonts w:ascii="宋体" w:hAnsi="宋体" w:cs="宋体"/>
                <w:kern w:val="0"/>
                <w:szCs w:val="21"/>
              </w:rPr>
            </w:pPr>
            <w:r>
              <w:rPr>
                <w:rFonts w:hint="eastAsia" w:ascii="宋体" w:hAnsi="宋体" w:cs="宋体"/>
                <w:kern w:val="0"/>
                <w:szCs w:val="21"/>
              </w:rPr>
              <w:t>≧</w:t>
            </w:r>
            <w:r>
              <w:rPr>
                <w:rFonts w:hint="eastAsia" w:ascii="仿宋_GB2312" w:eastAsia="仿宋_GB2312"/>
                <w:kern w:val="0"/>
                <w:szCs w:val="21"/>
                <w:lang w:val="en-US" w:eastAsia="zh-CN"/>
              </w:rPr>
              <w:t>20.14</w:t>
            </w:r>
            <w:r>
              <w:rPr>
                <w:rFonts w:hint="eastAsia" w:ascii="仿宋_GB2312" w:eastAsia="仿宋_GB2312"/>
                <w:kern w:val="0"/>
                <w:szCs w:val="21"/>
              </w:rPr>
              <w:t xml:space="preserve">万公斤， </w:t>
            </w:r>
            <w:r>
              <w:rPr>
                <w:rFonts w:hint="eastAsia" w:ascii="仿宋_GB2312" w:eastAsia="仿宋_GB2312"/>
                <w:kern w:val="0"/>
                <w:szCs w:val="21"/>
                <w:lang w:val="en-US" w:eastAsia="zh-CN"/>
              </w:rPr>
              <w:t>120.84</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3、蔬菜生产能力预计可增加</w:t>
            </w:r>
          </w:p>
        </w:tc>
        <w:tc>
          <w:tcPr>
            <w:tcW w:w="2070" w:type="dxa"/>
            <w:vAlign w:val="center"/>
          </w:tcPr>
          <w:p>
            <w:pPr>
              <w:rPr>
                <w:rFonts w:ascii="宋体" w:hAnsi="宋体" w:cs="宋体"/>
                <w:kern w:val="0"/>
                <w:szCs w:val="21"/>
              </w:rPr>
            </w:pPr>
            <w:r>
              <w:rPr>
                <w:rFonts w:hint="eastAsia" w:ascii="宋体" w:hAnsi="宋体" w:cs="宋体"/>
                <w:kern w:val="0"/>
                <w:szCs w:val="21"/>
              </w:rPr>
              <w:t>≧</w:t>
            </w:r>
            <w:r>
              <w:rPr>
                <w:rFonts w:hint="eastAsia" w:ascii="仿宋_GB2312" w:eastAsia="仿宋_GB2312"/>
                <w:kern w:val="0"/>
                <w:szCs w:val="21"/>
                <w:lang w:val="en-US" w:eastAsia="zh-CN"/>
              </w:rPr>
              <w:t>45.5</w:t>
            </w:r>
            <w:r>
              <w:rPr>
                <w:rFonts w:hint="eastAsia" w:ascii="仿宋_GB2312" w:eastAsia="仿宋_GB2312"/>
                <w:kern w:val="0"/>
                <w:szCs w:val="21"/>
              </w:rPr>
              <w:t>万公斤，</w:t>
            </w:r>
            <w:r>
              <w:rPr>
                <w:rFonts w:hint="eastAsia" w:ascii="仿宋_GB2312" w:eastAsia="仿宋_GB2312"/>
                <w:kern w:val="0"/>
                <w:szCs w:val="21"/>
                <w:lang w:val="en-US" w:eastAsia="zh-CN"/>
              </w:rPr>
              <w:t>109.2</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社会效益指标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1、改善农业生产条件，提高耕地质量</w:t>
            </w:r>
          </w:p>
        </w:tc>
        <w:tc>
          <w:tcPr>
            <w:tcW w:w="2070" w:type="dxa"/>
            <w:vMerge w:val="restart"/>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2、增加农民收入，推动农村经济发展</w:t>
            </w:r>
          </w:p>
        </w:tc>
        <w:tc>
          <w:tcPr>
            <w:tcW w:w="2070" w:type="dxa"/>
            <w:vMerge w:val="continue"/>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3、增强合理利用土地、切实保护耕地的意识</w:t>
            </w:r>
          </w:p>
        </w:tc>
        <w:tc>
          <w:tcPr>
            <w:tcW w:w="2070" w:type="dxa"/>
            <w:vMerge w:val="continue"/>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生态效益指标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1、提高抵御旱涝等自然灾害的能力</w:t>
            </w:r>
          </w:p>
        </w:tc>
        <w:tc>
          <w:tcPr>
            <w:tcW w:w="2070" w:type="dxa"/>
            <w:vMerge w:val="restart"/>
            <w:vAlign w:val="center"/>
          </w:tcPr>
          <w:p>
            <w:pPr>
              <w:jc w:val="center"/>
              <w:rPr>
                <w:rFonts w:ascii="仿宋_GB2312"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2、改善农田生态系统</w:t>
            </w:r>
          </w:p>
        </w:tc>
        <w:tc>
          <w:tcPr>
            <w:tcW w:w="2070" w:type="dxa"/>
            <w:vMerge w:val="continue"/>
            <w:vAlign w:val="center"/>
          </w:tcPr>
          <w:p>
            <w:pPr>
              <w:jc w:val="center"/>
              <w:rPr>
                <w:rFonts w:ascii="仿宋_GB2312"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Align w:val="center"/>
          </w:tcPr>
          <w:p>
            <w:pPr>
              <w:jc w:val="center"/>
              <w:rPr>
                <w:rFonts w:ascii="仿宋_GB2312" w:eastAsia="仿宋_GB2312"/>
                <w:kern w:val="0"/>
                <w:szCs w:val="21"/>
              </w:rPr>
            </w:pPr>
            <w:r>
              <w:rPr>
                <w:rFonts w:hint="eastAsia" w:ascii="仿宋_GB2312" w:eastAsia="仿宋_GB2312"/>
                <w:kern w:val="0"/>
                <w:szCs w:val="21"/>
              </w:rPr>
              <w:t>社会公众或服务对象满意度</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受益群众满意度</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w:t>
            </w:r>
            <w:r>
              <w:rPr>
                <w:rFonts w:hint="eastAsia" w:ascii="仿宋_GB2312" w:eastAsia="仿宋_GB2312"/>
                <w:kern w:val="0"/>
                <w:szCs w:val="21"/>
              </w:rPr>
              <w:t>90%</w:t>
            </w:r>
          </w:p>
        </w:tc>
      </w:tr>
    </w:tbl>
    <w:p>
      <w:pPr>
        <w:widowControl/>
        <w:tabs>
          <w:tab w:val="left" w:pos="1333"/>
          <w:tab w:val="left" w:pos="3793"/>
          <w:tab w:val="left" w:pos="5853"/>
        </w:tabs>
        <w:jc w:val="left"/>
        <w:rPr>
          <w:rFonts w:ascii="仿宋_GB2312" w:eastAsia="仿宋_GB2312"/>
          <w:kern w:val="0"/>
          <w:szCs w:val="21"/>
        </w:rPr>
      </w:pPr>
      <w:r>
        <w:rPr>
          <w:rFonts w:hint="eastAsia" w:ascii="仿宋_GB2312" w:eastAsia="仿宋_GB2312"/>
          <w:kern w:val="0"/>
          <w:szCs w:val="21"/>
        </w:rPr>
        <w:t>填表人：颜媛媛          联系电话：  15873482682       填报日期：20</w:t>
      </w:r>
      <w:r>
        <w:rPr>
          <w:rFonts w:hint="eastAsia" w:ascii="仿宋_GB2312" w:eastAsia="仿宋_GB2312"/>
          <w:kern w:val="0"/>
          <w:szCs w:val="21"/>
          <w:lang w:val="en-US" w:eastAsia="zh-CN"/>
        </w:rPr>
        <w:t>19</w:t>
      </w:r>
      <w:bookmarkStart w:id="0" w:name="_GoBack"/>
      <w:bookmarkEnd w:id="0"/>
      <w:r>
        <w:rPr>
          <w:rFonts w:hint="eastAsia" w:ascii="仿宋_GB2312" w:eastAsia="仿宋_GB2312"/>
          <w:kern w:val="0"/>
          <w:szCs w:val="21"/>
        </w:rPr>
        <w:t>年</w:t>
      </w:r>
      <w:r>
        <w:rPr>
          <w:rFonts w:hint="eastAsia" w:ascii="仿宋_GB2312" w:eastAsia="仿宋_GB2312"/>
          <w:kern w:val="0"/>
          <w:szCs w:val="21"/>
          <w:lang w:val="en-US" w:eastAsia="zh-CN"/>
        </w:rPr>
        <w:t>5</w:t>
      </w:r>
      <w:r>
        <w:rPr>
          <w:rFonts w:hint="eastAsia" w:ascii="仿宋_GB2312" w:eastAsia="仿宋_GB2312"/>
          <w:kern w:val="0"/>
          <w:szCs w:val="21"/>
        </w:rPr>
        <w:t>月</w:t>
      </w:r>
      <w:r>
        <w:rPr>
          <w:rFonts w:hint="eastAsia" w:ascii="仿宋_GB2312" w:eastAsia="仿宋_GB2312"/>
          <w:kern w:val="0"/>
          <w:szCs w:val="21"/>
          <w:lang w:val="en-US" w:eastAsia="zh-CN"/>
        </w:rPr>
        <w:t>10</w:t>
      </w:r>
      <w:r>
        <w:rPr>
          <w:rFonts w:hint="eastAsia" w:ascii="仿宋_GB2312" w:eastAsia="仿宋_GB2312"/>
          <w:kern w:val="0"/>
          <w:szCs w:val="21"/>
        </w:rPr>
        <w:t>日          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B3F6A"/>
    <w:multiLevelType w:val="multilevel"/>
    <w:tmpl w:val="389B3F6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643A"/>
    <w:rsid w:val="000610AF"/>
    <w:rsid w:val="00080F36"/>
    <w:rsid w:val="000D17E0"/>
    <w:rsid w:val="000F7EF5"/>
    <w:rsid w:val="00117D75"/>
    <w:rsid w:val="001647ED"/>
    <w:rsid w:val="0021253F"/>
    <w:rsid w:val="00301098"/>
    <w:rsid w:val="003563A4"/>
    <w:rsid w:val="003908F6"/>
    <w:rsid w:val="00430AB4"/>
    <w:rsid w:val="004B1271"/>
    <w:rsid w:val="004E061C"/>
    <w:rsid w:val="00577941"/>
    <w:rsid w:val="005A111A"/>
    <w:rsid w:val="005D643A"/>
    <w:rsid w:val="00613CA6"/>
    <w:rsid w:val="0074563B"/>
    <w:rsid w:val="00821719"/>
    <w:rsid w:val="00873065"/>
    <w:rsid w:val="00882674"/>
    <w:rsid w:val="008D0281"/>
    <w:rsid w:val="00931E9C"/>
    <w:rsid w:val="009F053D"/>
    <w:rsid w:val="00B473ED"/>
    <w:rsid w:val="00B5359F"/>
    <w:rsid w:val="00BD4390"/>
    <w:rsid w:val="00BE6416"/>
    <w:rsid w:val="00BF36A5"/>
    <w:rsid w:val="00BF497C"/>
    <w:rsid w:val="00BF6DE1"/>
    <w:rsid w:val="00CD789D"/>
    <w:rsid w:val="00CE2495"/>
    <w:rsid w:val="00D2271D"/>
    <w:rsid w:val="00DA0E24"/>
    <w:rsid w:val="00DD49A9"/>
    <w:rsid w:val="00E006DD"/>
    <w:rsid w:val="00E644F2"/>
    <w:rsid w:val="00F37177"/>
    <w:rsid w:val="00F464B9"/>
    <w:rsid w:val="00F727FC"/>
    <w:rsid w:val="077813F8"/>
    <w:rsid w:val="08A57CCA"/>
    <w:rsid w:val="0F494399"/>
    <w:rsid w:val="127A4469"/>
    <w:rsid w:val="2562332B"/>
    <w:rsid w:val="27AA2AFC"/>
    <w:rsid w:val="27BA1478"/>
    <w:rsid w:val="2B297F85"/>
    <w:rsid w:val="419C26F9"/>
    <w:rsid w:val="564B43E4"/>
    <w:rsid w:val="583328AE"/>
    <w:rsid w:val="66DC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E8F9D-36A8-4D3F-80FF-7673384BCB9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221</Words>
  <Characters>1264</Characters>
  <Lines>10</Lines>
  <Paragraphs>2</Paragraphs>
  <TotalTime>9</TotalTime>
  <ScaleCrop>false</ScaleCrop>
  <LinksUpToDate>false</LinksUpToDate>
  <CharactersWithSpaces>1483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2020-07-07T03:17:00Z</dcterms:created>
  <dc:creator>dreamsummit</dc:creator>
  <cp:lastModifiedBy>Administrator</cp:lastModifiedBy>
  <cp:lastPrinted>2021-05-07T02:33:00Z</cp:lastPrinted>
  <dcterms:modified xsi:type="dcterms:W3CDTF">2021-06-04T09:29:34Z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E2A4185E006048DAA609805DE04FABA6</vt:lpwstr>
  </property>
</Properties>
</file>