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衡东县水运事务中心</w:t>
      </w:r>
      <w:r>
        <w:rPr>
          <w:rFonts w:eastAsia="黑体"/>
          <w:kern w:val="0"/>
          <w:sz w:val="24"/>
        </w:rPr>
        <w:t xml:space="preserve">          </w:t>
      </w:r>
      <w:r>
        <w:rPr>
          <w:rFonts w:hint="eastAsia" w:cs="宋体"/>
          <w:kern w:val="0"/>
          <w:sz w:val="24"/>
        </w:rPr>
        <w:t>单位负责人（签名）：</w:t>
      </w:r>
      <w:r>
        <w:rPr>
          <w:rFonts w:hint="eastAsia" w:cs="宋体"/>
          <w:kern w:val="0"/>
          <w:sz w:val="24"/>
          <w:lang w:eastAsia="zh-CN"/>
        </w:rPr>
        <w:t>谭向阳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衡东县水运事务中心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300.66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300.66万元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200.66万元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279" w:leftChars="133"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宣传贯彻执行国家、省、市、县有关水路交通管理方面的法律、法规、规章和制度,负责拟定水上交通管理的规范性文件并组织实施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依据法律法规授权和县交通运输和旅游局的委托,负责全县水路交通行政执法的监督检查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(二)拟定辖区内水路交通行业中长期发展规划和年度计划,经批准后组织实施;负责本行业统计信息工作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三)组织、指导、协调、监督辖区内水上交通安全和防治船舶污染水域工作;监督管理船舶所有人安全生产条件和水运企业安全管理体系;负责通航秩序和通航环境监督划定并管理航路、禁航区、交通管制区、港外锚地和安全作业区;参与水上水下施工作业(含使用岸线)许可和监督检查,发布航行警(通)告;负责组织和指导水上搜寻救助水上应急搜救演习及沉船沉物打捞;负责职责范围内的水上交通安全和船舶污染事故的调查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(四)负责辖区内船舶登记、船舶进出港管理和船员的日常监督管理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五)承担港口、码头、渡口的监督管理;负责辖区内港口、码头、渡口建设、养护的监督管理工作;负责辖区内水路运输市场、港口搬运装卸市场、水路运输服务业市场的行业监督管理;参与协调水资源的综合利用;组织协调水路战备运输和防汛抢险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left="718" w:leftChars="342" w:firstLine="0" w:firstLine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(六)负责辖区内水路交通规费的征稽和管理。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(七)指导水路交通科技工作及新技术、新工艺和新材料的推广应用。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(八)承办县交通运输和旅游局交办的其他工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177.6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商品和服务支出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20.63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20.63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对个人和家庭的补助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2.43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水上交通安全视频监控中心经费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任务5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任务6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300.66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300.66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积极推进水上交通平稳运行。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200.66万元</w:t>
            </w:r>
            <w:r>
              <w:rPr>
                <w:rFonts w:hint="eastAsia"/>
                <w:kern w:val="0"/>
                <w:sz w:val="24"/>
                <w:lang w:eastAsia="zh-CN"/>
              </w:rPr>
              <w:t>保障单位正常运转、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23人的基本工资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水上应急救援</w:t>
            </w:r>
          </w:p>
          <w:p>
            <w:pPr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租用民用大吨位船舶20条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抗洪物资大钢缆绳等物资一批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水上交通安全生产及宣传教育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水上安全宣传资料6000套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码头现场督查安全700次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全年安全培训3次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年度安全巡航4次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在职人员经费和公用经费控制率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水上应急救援及时安全率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水上交通安全生产及宣传教育覆盖率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严格按预算执行本单位的人员经费支出和机关运行经费支出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200.66万元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水上应急救援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水上交通安全生产及宣传教育费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沿河居民水上应急救援满意率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填表人：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eastAsia="zh-CN"/>
        </w:rPr>
        <w:t>刘海燕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 xml:space="preserve">13087241281    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23</w:t>
      </w:r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5C23"/>
    <w:multiLevelType w:val="singleLevel"/>
    <w:tmpl w:val="5A795C2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4B06BA6"/>
    <w:rsid w:val="08472921"/>
    <w:rsid w:val="0A9465E2"/>
    <w:rsid w:val="256E2347"/>
    <w:rsid w:val="28C23C78"/>
    <w:rsid w:val="29F738A4"/>
    <w:rsid w:val="2A2B0435"/>
    <w:rsid w:val="3993461D"/>
    <w:rsid w:val="3A6211D8"/>
    <w:rsid w:val="432B6E90"/>
    <w:rsid w:val="441B11AC"/>
    <w:rsid w:val="476F705E"/>
    <w:rsid w:val="47A9607D"/>
    <w:rsid w:val="47D739B7"/>
    <w:rsid w:val="5FBF2A09"/>
    <w:rsid w:val="699A32FE"/>
    <w:rsid w:val="72534240"/>
    <w:rsid w:val="74D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想飞无路</cp:lastModifiedBy>
  <dcterms:modified xsi:type="dcterms:W3CDTF">2021-06-04T02:54:35Z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