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衡东县大浦中心卫生院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</w:t>
      </w:r>
      <w:r>
        <w:rPr>
          <w:rFonts w:hint="eastAsia" w:cs="宋体"/>
          <w:kern w:val="0"/>
          <w:sz w:val="24"/>
        </w:rPr>
        <w:t>单位负责人（签名）：</w:t>
      </w:r>
      <w:r>
        <w:rPr>
          <w:rFonts w:hint="eastAsia" w:cs="宋体"/>
          <w:kern w:val="0"/>
          <w:sz w:val="24"/>
          <w:lang w:eastAsia="zh-CN"/>
        </w:rPr>
        <w:t>袁剑峰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衡东县</w:t>
            </w: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大浦镇卫生院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450.8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公共财政拨款：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450.8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1、宣传贯彻党和政府的各项卫生方针政策，协助政府实施农村医改工作；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2、提供基本医疗服务，开展农村常见病，多发病的诊疗，护理；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3、贯彻落实国家基本药物制度，全部配备，使用基本药物，实行网上采购，统一配送，零差价销售；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4、协助开展突发公共卫生事件应急调查和处置工作，相关信息的收集和报告；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5、对所属行政村卫生室实行一体化管理，承担对卫生室和乡村医生的业务管理和指指导；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6、协助做好区域内食品卫生，饮用水卫生，公共场所卫生，做好爱国卫生工作；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7、协助做好新型农合工作；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8、完成各级政府及上级主管部门安排的其他工作。</w:t>
            </w:r>
          </w:p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乡镇卫生院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450.8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hd w:val="clear" w:color="auto" w:fill="FFFFFF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hd w:val="clear" w:color="auto" w:fill="FFFFFF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eastAsia="zh-CN"/>
              </w:rPr>
            </w:pPr>
            <w:r>
              <w:rPr>
                <w:rFonts w:hint="eastAsia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450.8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：通过预算执行，保证正常工作运转。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目标计划完成诊疗人次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2500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合理保障队伍建设需要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1、门诊病历书写合格率100%。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2、住院病历书写合格率100%，优良率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0%。护理文书书写合格率100%，优良率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0%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3、严禁销售假冒伪劣药品，确保人民群众用药安全有效。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.1-12月完成任务。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医院实行成本核算，降低运行成本</w:t>
            </w: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21"/>
                <w:shd w:val="clear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通过项目实施，强化效率意识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服务社会群众，及时发布相关政策，保护生态环境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创建和谐科室、创建和谐的医患关系的理念贯彻到每位职工的服务意识中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积极完成上级交办的各项任务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建立医院、科室的医疗质量管理体系，负责制定医疗与医疗安全和持续改进方案，执行医疗质量与医疗安全管理和持续改进相关任务。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让服务对象满意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谭辉尤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13787713463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19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 4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/>
          <w:kern w:val="0"/>
          <w:sz w:val="24"/>
        </w:rPr>
        <w:t>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0F2556E9"/>
    <w:rsid w:val="117010AF"/>
    <w:rsid w:val="17C51D6C"/>
    <w:rsid w:val="18B178A2"/>
    <w:rsid w:val="22CA09BC"/>
    <w:rsid w:val="28C23C78"/>
    <w:rsid w:val="29F738A4"/>
    <w:rsid w:val="318C69B3"/>
    <w:rsid w:val="432B6E90"/>
    <w:rsid w:val="441B11AC"/>
    <w:rsid w:val="47D739B7"/>
    <w:rsid w:val="4BDB051D"/>
    <w:rsid w:val="4D214428"/>
    <w:rsid w:val="4FFB2992"/>
    <w:rsid w:val="519E6830"/>
    <w:rsid w:val="56DF5BDC"/>
    <w:rsid w:val="5B396760"/>
    <w:rsid w:val="5F1D6F04"/>
    <w:rsid w:val="61740DF4"/>
    <w:rsid w:val="62910D72"/>
    <w:rsid w:val="63002084"/>
    <w:rsid w:val="6CA122D5"/>
    <w:rsid w:val="6E284A45"/>
    <w:rsid w:val="6FBF5A57"/>
    <w:rsid w:val="711A0CD1"/>
    <w:rsid w:val="72FC5E48"/>
    <w:rsid w:val="76C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6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2021-06-03T01:40:57Z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45D1012DFD38472F87B57387AF2C15A3</vt:lpwstr>
  </property>
</Properties>
</file>