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eastAsia="楷体_GB2312"/>
          <w:bCs/>
          <w:sz w:val="32"/>
          <w:szCs w:val="32"/>
        </w:rPr>
      </w:pPr>
      <w:r>
        <w:rPr>
          <w:rFonts w:hint="eastAsia" w:eastAsia="方正小标宋_GBK"/>
          <w:bCs/>
          <w:sz w:val="36"/>
          <w:szCs w:val="36"/>
        </w:rPr>
        <w:t>202</w:t>
      </w:r>
      <w:r>
        <w:rPr>
          <w:rFonts w:hint="eastAsia" w:eastAsia="方正小标宋_GBK"/>
          <w:bCs/>
          <w:sz w:val="36"/>
          <w:szCs w:val="36"/>
          <w:lang w:val="en-US" w:eastAsia="zh-CN"/>
        </w:rPr>
        <w:t>1</w:t>
      </w:r>
      <w:r>
        <w:rPr>
          <w:rFonts w:hint="eastAsia" w:eastAsia="方正小标宋_GBK"/>
          <w:bCs/>
          <w:sz w:val="36"/>
          <w:szCs w:val="36"/>
        </w:rPr>
        <w:t>年部门整体支出绩效目标表</w:t>
      </w:r>
    </w:p>
    <w:p>
      <w:pPr>
        <w:tabs>
          <w:tab w:val="left" w:pos="2593"/>
        </w:tabs>
        <w:rPr>
          <w:rFonts w:hint="default" w:ascii="仿宋" w:hAnsi="仿宋" w:eastAsia="仿宋" w:cs="仿宋"/>
          <w:sz w:val="24"/>
          <w:szCs w:val="24"/>
          <w:lang w:val="en-US" w:eastAsia="zh-CN"/>
        </w:rPr>
      </w:pPr>
      <w:r>
        <w:rPr>
          <w:rFonts w:hint="eastAsia" w:ascii="仿宋_GB2312" w:eastAsia="仿宋_GB2312"/>
          <w:sz w:val="24"/>
          <w:szCs w:val="21"/>
        </w:rPr>
        <w:t xml:space="preserve"> </w:t>
      </w:r>
      <w:r>
        <w:rPr>
          <w:rFonts w:hint="eastAsia" w:ascii="仿宋" w:hAnsi="仿宋" w:eastAsia="仿宋" w:cs="仿宋"/>
          <w:sz w:val="24"/>
          <w:szCs w:val="24"/>
        </w:rPr>
        <w:t>填报单位：（盖章）衡东县</w:t>
      </w:r>
      <w:r>
        <w:rPr>
          <w:rFonts w:hint="eastAsia" w:ascii="仿宋" w:hAnsi="仿宋" w:eastAsia="仿宋" w:cs="仿宋"/>
          <w:sz w:val="24"/>
          <w:szCs w:val="24"/>
          <w:lang w:val="en-US" w:eastAsia="zh-CN"/>
        </w:rPr>
        <w:t>农业综合行政执法大队</w:t>
      </w:r>
    </w:p>
    <w:tbl>
      <w:tblPr>
        <w:tblStyle w:val="4"/>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380"/>
        <w:gridCol w:w="1365"/>
        <w:gridCol w:w="1625"/>
        <w:gridCol w:w="2346"/>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部门名称</w:t>
            </w:r>
          </w:p>
        </w:tc>
        <w:tc>
          <w:tcPr>
            <w:tcW w:w="8111"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rPr>
              <w:t>衡东县</w:t>
            </w:r>
            <w:r>
              <w:rPr>
                <w:rFonts w:hint="eastAsia" w:ascii="仿宋" w:hAnsi="仿宋" w:eastAsia="仿宋" w:cs="仿宋"/>
                <w:sz w:val="24"/>
                <w:szCs w:val="24"/>
                <w:lang w:val="en-US" w:eastAsia="zh-CN"/>
              </w:rPr>
              <w:t>农业综合行政执法大队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年度预算申请</w:t>
            </w:r>
            <w:r>
              <w:rPr>
                <w:rFonts w:hint="eastAsia" w:ascii="仿宋" w:hAnsi="仿宋" w:eastAsia="仿宋" w:cs="仿宋"/>
                <w:sz w:val="24"/>
                <w:szCs w:val="24"/>
              </w:rPr>
              <w:br w:type="textWrapping"/>
            </w:r>
            <w:r>
              <w:rPr>
                <w:rFonts w:hint="eastAsia" w:ascii="仿宋" w:hAnsi="仿宋" w:eastAsia="仿宋" w:cs="仿宋"/>
                <w:sz w:val="24"/>
                <w:szCs w:val="24"/>
              </w:rPr>
              <w:t>（万元）</w:t>
            </w:r>
          </w:p>
        </w:tc>
        <w:tc>
          <w:tcPr>
            <w:tcW w:w="811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资金总额：</w:t>
            </w:r>
            <w:r>
              <w:rPr>
                <w:rFonts w:hint="eastAsia" w:ascii="仿宋" w:hAnsi="仿宋" w:eastAsia="仿宋" w:cs="仿宋"/>
                <w:sz w:val="24"/>
                <w:szCs w:val="24"/>
                <w:lang w:val="en-US" w:eastAsia="zh-CN"/>
              </w:rPr>
              <w:t>568.17</w:t>
            </w:r>
            <w:r>
              <w:rPr>
                <w:rFonts w:hint="eastAsia" w:ascii="仿宋" w:hAnsi="仿宋" w:eastAsia="仿宋" w:cs="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p>
        </w:tc>
        <w:tc>
          <w:tcPr>
            <w:tcW w:w="437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按收入性质分：</w:t>
            </w:r>
            <w:r>
              <w:rPr>
                <w:rFonts w:hint="eastAsia" w:ascii="仿宋" w:hAnsi="仿宋" w:eastAsia="仿宋" w:cs="仿宋"/>
                <w:sz w:val="24"/>
                <w:szCs w:val="24"/>
                <w:lang w:val="en-US" w:eastAsia="zh-CN"/>
              </w:rPr>
              <w:t>568.17</w:t>
            </w:r>
            <w:r>
              <w:rPr>
                <w:rFonts w:hint="eastAsia" w:ascii="仿宋" w:hAnsi="仿宋" w:eastAsia="仿宋" w:cs="仿宋"/>
                <w:sz w:val="24"/>
                <w:szCs w:val="24"/>
              </w:rPr>
              <w:t>万元</w:t>
            </w:r>
          </w:p>
        </w:tc>
        <w:tc>
          <w:tcPr>
            <w:tcW w:w="374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按支出性质分：</w:t>
            </w:r>
            <w:r>
              <w:rPr>
                <w:rFonts w:hint="eastAsia" w:ascii="仿宋" w:hAnsi="仿宋" w:eastAsia="仿宋" w:cs="仿宋"/>
                <w:sz w:val="24"/>
                <w:szCs w:val="24"/>
                <w:lang w:val="en-US" w:eastAsia="zh-CN"/>
              </w:rPr>
              <w:t>568.17</w:t>
            </w:r>
            <w:r>
              <w:rPr>
                <w:rFonts w:hint="eastAsia" w:ascii="仿宋" w:hAnsi="仿宋" w:eastAsia="仿宋" w:cs="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p>
        </w:tc>
        <w:tc>
          <w:tcPr>
            <w:tcW w:w="437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其中：  一般公共预算：</w:t>
            </w:r>
            <w:r>
              <w:rPr>
                <w:rFonts w:hint="eastAsia" w:ascii="仿宋" w:hAnsi="仿宋" w:eastAsia="仿宋" w:cs="仿宋"/>
                <w:sz w:val="24"/>
                <w:szCs w:val="24"/>
                <w:lang w:val="en-US" w:eastAsia="zh-CN"/>
              </w:rPr>
              <w:t>543.17</w:t>
            </w:r>
            <w:r>
              <w:rPr>
                <w:rFonts w:hint="eastAsia" w:ascii="仿宋" w:hAnsi="仿宋" w:eastAsia="仿宋" w:cs="仿宋"/>
                <w:sz w:val="24"/>
                <w:szCs w:val="24"/>
              </w:rPr>
              <w:t>万元</w:t>
            </w:r>
          </w:p>
        </w:tc>
        <w:tc>
          <w:tcPr>
            <w:tcW w:w="374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其中： 基本支出：</w:t>
            </w:r>
            <w:r>
              <w:rPr>
                <w:rFonts w:hint="eastAsia" w:ascii="仿宋" w:hAnsi="仿宋" w:eastAsia="仿宋" w:cs="仿宋"/>
                <w:sz w:val="24"/>
                <w:szCs w:val="24"/>
                <w:lang w:val="en-US" w:eastAsia="zh-CN"/>
              </w:rPr>
              <w:t>473.17</w:t>
            </w:r>
            <w:r>
              <w:rPr>
                <w:rFonts w:hint="eastAsia" w:ascii="仿宋" w:hAnsi="仿宋" w:eastAsia="仿宋" w:cs="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p>
        </w:tc>
        <w:tc>
          <w:tcPr>
            <w:tcW w:w="437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 xml:space="preserve">       政府性基金拨款：</w:t>
            </w:r>
          </w:p>
        </w:tc>
        <w:tc>
          <w:tcPr>
            <w:tcW w:w="374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 xml:space="preserve">       项目支出：</w:t>
            </w:r>
            <w:r>
              <w:rPr>
                <w:rFonts w:hint="eastAsia" w:ascii="仿宋" w:hAnsi="仿宋" w:eastAsia="仿宋" w:cs="仿宋"/>
                <w:sz w:val="24"/>
                <w:szCs w:val="24"/>
                <w:lang w:val="en-US" w:eastAsia="zh-CN"/>
              </w:rPr>
              <w:t>95</w:t>
            </w:r>
            <w:r>
              <w:rPr>
                <w:rFonts w:hint="eastAsia" w:ascii="仿宋" w:hAnsi="仿宋" w:eastAsia="仿宋" w:cs="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p>
        </w:tc>
        <w:tc>
          <w:tcPr>
            <w:tcW w:w="4370" w:type="dxa"/>
            <w:gridSpan w:val="3"/>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rPr>
              <w:t>纳入专户管理的非税收入拨款：</w:t>
            </w:r>
            <w:r>
              <w:rPr>
                <w:rFonts w:hint="eastAsia" w:ascii="仿宋" w:hAnsi="仿宋" w:eastAsia="仿宋" w:cs="仿宋"/>
                <w:sz w:val="24"/>
                <w:szCs w:val="24"/>
                <w:lang w:val="en-US" w:eastAsia="zh-CN"/>
              </w:rPr>
              <w:t>25万元</w:t>
            </w:r>
          </w:p>
        </w:tc>
        <w:tc>
          <w:tcPr>
            <w:tcW w:w="374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p>
        </w:tc>
        <w:tc>
          <w:tcPr>
            <w:tcW w:w="437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 xml:space="preserve">             其他资金：</w:t>
            </w:r>
          </w:p>
        </w:tc>
        <w:tc>
          <w:tcPr>
            <w:tcW w:w="374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部门职能</w:t>
            </w:r>
          </w:p>
          <w:p>
            <w:pPr>
              <w:jc w:val="center"/>
              <w:rPr>
                <w:rFonts w:hint="eastAsia" w:ascii="仿宋" w:hAnsi="仿宋" w:eastAsia="仿宋" w:cs="仿宋"/>
                <w:sz w:val="24"/>
                <w:szCs w:val="24"/>
              </w:rPr>
            </w:pPr>
            <w:r>
              <w:rPr>
                <w:rFonts w:hint="eastAsia" w:ascii="仿宋" w:hAnsi="仿宋" w:eastAsia="仿宋" w:cs="仿宋"/>
                <w:sz w:val="24"/>
                <w:szCs w:val="24"/>
              </w:rPr>
              <w:t>职责概述</w:t>
            </w:r>
          </w:p>
        </w:tc>
        <w:tc>
          <w:tcPr>
            <w:tcW w:w="811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1、负责宣传、贯彻党和国家，以及省、市、县有关农业农村执法工作的法律法规、方针政策。负责拟订全县农业综合执法工作规划计划和规范性文件、规章，并组织实施</w:t>
            </w:r>
            <w:r>
              <w:rPr>
                <w:rFonts w:hint="eastAsia" w:ascii="仿宋" w:hAnsi="仿宋" w:eastAsia="仿宋" w:cs="仿宋"/>
                <w:bCs/>
                <w:kern w:val="0"/>
                <w:sz w:val="24"/>
                <w:szCs w:val="24"/>
              </w:rPr>
              <w:t>。</w:t>
            </w:r>
          </w:p>
          <w:p>
            <w:pPr>
              <w:widowControl/>
              <w:spacing w:line="240" w:lineRule="auto"/>
              <w:jc w:val="left"/>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2、负责全县农业资源与环境保护、基本农田保护、耕地质量保护、农村宅基地、农业投入品、农产品质量安全、农业知识产权保护、农业植物检疫、畜牧兽医、生鲜乳生产收购、畜禽水产品包装标志、兽药生产经营使用、饲料和饲料添加剂生产经营使用、动物检疫监督、动物防疫监督、动物卫生监督、畜禽定点屠宰、种畜禽生产与销售、水产苗种生产销售、水产动物防疫检疫监督、鱼类资源和与渔业环境保护、渔业船舶运营、农业机械安全管理等方面的行政执法工作。</w:t>
            </w:r>
          </w:p>
          <w:p>
            <w:pPr>
              <w:widowControl/>
              <w:spacing w:line="240" w:lineRule="auto"/>
              <w:jc w:val="left"/>
              <w:rPr>
                <w:rFonts w:hint="eastAsia" w:ascii="仿宋" w:hAnsi="仿宋" w:eastAsia="仿宋" w:cs="仿宋"/>
                <w:bCs/>
                <w:kern w:val="0"/>
                <w:sz w:val="24"/>
                <w:szCs w:val="24"/>
              </w:rPr>
            </w:pPr>
            <w:r>
              <w:rPr>
                <w:rFonts w:hint="eastAsia" w:ascii="仿宋" w:hAnsi="仿宋" w:eastAsia="仿宋" w:cs="仿宋"/>
                <w:bCs/>
                <w:kern w:val="0"/>
                <w:sz w:val="24"/>
                <w:szCs w:val="24"/>
              </w:rPr>
              <w:t>3、负责拟订全县农业综合行政执法的程序</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rPr>
              <w:t>标准</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rPr>
              <w:t>规划并组织实施</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rPr>
              <w:t>负责组织</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rPr>
              <w:t>协调全县跨区域农业行政执法工作</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rPr>
              <w:t>协调指导全县农业行政执法和监督考核工作。</w:t>
            </w:r>
          </w:p>
          <w:p>
            <w:pPr>
              <w:widowControl/>
              <w:spacing w:line="240" w:lineRule="auto"/>
              <w:jc w:val="left"/>
              <w:rPr>
                <w:rFonts w:hint="eastAsia" w:ascii="仿宋" w:hAnsi="仿宋" w:eastAsia="仿宋" w:cs="仿宋"/>
                <w:bCs/>
                <w:kern w:val="0"/>
                <w:sz w:val="24"/>
                <w:szCs w:val="24"/>
              </w:rPr>
            </w:pPr>
            <w:r>
              <w:rPr>
                <w:rFonts w:hint="eastAsia" w:ascii="仿宋" w:hAnsi="仿宋" w:eastAsia="仿宋" w:cs="仿宋"/>
                <w:bCs/>
                <w:kern w:val="0"/>
                <w:sz w:val="24"/>
                <w:szCs w:val="24"/>
              </w:rPr>
              <w:t>4、负责对全县涉农市场主体及其从业人员的经营行为实施监督检查，纠正违法违规行为，开展专项整治行动，维护生产源头农产品质量安全。</w:t>
            </w:r>
          </w:p>
          <w:p>
            <w:pPr>
              <w:rPr>
                <w:rFonts w:hint="eastAsia" w:ascii="仿宋" w:hAnsi="仿宋" w:eastAsia="仿宋" w:cs="仿宋"/>
                <w:bCs/>
                <w:kern w:val="0"/>
                <w:sz w:val="24"/>
                <w:szCs w:val="24"/>
              </w:rPr>
            </w:pPr>
            <w:r>
              <w:rPr>
                <w:rFonts w:hint="eastAsia" w:ascii="仿宋" w:hAnsi="仿宋" w:eastAsia="仿宋" w:cs="仿宋"/>
                <w:bCs/>
                <w:kern w:val="0"/>
                <w:sz w:val="24"/>
                <w:szCs w:val="24"/>
              </w:rPr>
              <w:t>5、负责农业农村领域违章行为的稽查和违法行为的处罚，负责农业行政执法有关举报</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rPr>
              <w:t>投诉的受理和处理。</w:t>
            </w:r>
          </w:p>
          <w:p>
            <w:pP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6、负责全县农业农村领域违法行为专项整治工作，指导各乡镇农业农村综合执法及其机构的专项整治工作。</w:t>
            </w:r>
          </w:p>
          <w:p>
            <w:pP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7、负责组织农业行政执法案件听证工作，负责农业行政执法案件的行政复议、行政诉讼、行政赔偿等相关工作。</w:t>
            </w:r>
          </w:p>
          <w:p>
            <w:pP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8、负责拟定全县农业行政执法信息化建设规划、计划并组织实施；负责农业农村领域稽查和执法信息资料的收集、统计、分析、传递与整理归档工作。</w:t>
            </w:r>
          </w:p>
          <w:p>
            <w:pP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9、负责全县农业综合行政执法工人员的业务培训；负责执法证件和执法装备管理等工作。</w:t>
            </w:r>
          </w:p>
          <w:p>
            <w:pP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10、负责全县农业农村领域安全生产监督检查、专项整治工作；协助指导各乡镇农业农村综合执法及其机构的安全生产和应急管理工作。</w:t>
            </w:r>
          </w:p>
          <w:p>
            <w:pP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11、承担职责范围内的环境保护、综治维稳、文明创建等工作，指导全县农业生产经营领域诚信体系建设。</w:t>
            </w:r>
          </w:p>
          <w:p>
            <w:pP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12、完成县农业农村局交办的其他任务。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整体绩效目标</w:t>
            </w:r>
          </w:p>
        </w:tc>
        <w:tc>
          <w:tcPr>
            <w:tcW w:w="811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24"/>
              </w:rPr>
            </w:pPr>
          </w:p>
          <w:p>
            <w:pPr>
              <w:numPr>
                <w:ilvl w:val="0"/>
                <w:numId w:val="0"/>
              </w:numPr>
              <w:rPr>
                <w:rFonts w:hint="eastAsia" w:ascii="仿宋" w:hAnsi="仿宋" w:eastAsia="仿宋" w:cs="仿宋"/>
                <w:sz w:val="24"/>
                <w:szCs w:val="24"/>
              </w:rPr>
            </w:pPr>
            <w:r>
              <w:rPr>
                <w:rFonts w:hint="eastAsia" w:ascii="仿宋" w:hAnsi="仿宋" w:eastAsia="仿宋" w:cs="仿宋"/>
                <w:kern w:val="0"/>
                <w:sz w:val="24"/>
              </w:rPr>
              <w:t>按计划开展农业投入品例行监督检查，查处和打击生产、经营假冒伪劣农资违法行为，保护农民合法权益；严格农产品质量安全执法监管，定期开展农产品质量安全监督检查工作，依法查处和打击</w:t>
            </w:r>
            <w:r>
              <w:rPr>
                <w:rFonts w:hint="eastAsia" w:ascii="仿宋" w:hAnsi="仿宋" w:eastAsia="仿宋" w:cs="仿宋"/>
                <w:bCs/>
                <w:kern w:val="0"/>
                <w:sz w:val="24"/>
                <w:szCs w:val="24"/>
                <w:lang w:val="en-US" w:eastAsia="zh-CN"/>
              </w:rPr>
              <w:t>全县农业资源与环境保护、基本农田保护、耕地质量保护、农村宅基地、农业投入品、农产品质量安全、农业知识产权保护、农业植物检疫、畜牧兽医、生鲜乳生产收购、畜禽水产品包装标志、兽药生产经营使用、饲料和饲料添加剂生产经营使用、动物检疫监督、动物防疫监督、动物卫生监督、畜禽定点屠宰、种畜禽生产与销售、水产苗种生产销售、水产动物防疫检疫监督、鱼类资源和与渔业环境保护、渔业船舶运营、农业机械安全管理</w:t>
            </w:r>
            <w:r>
              <w:rPr>
                <w:rFonts w:hint="eastAsia" w:ascii="仿宋" w:hAnsi="仿宋" w:eastAsia="仿宋" w:cs="仿宋"/>
                <w:kern w:val="0"/>
                <w:sz w:val="24"/>
              </w:rPr>
              <w:t>等方面的违法违规行为；全面贯彻落实湘江</w:t>
            </w:r>
            <w:r>
              <w:rPr>
                <w:rFonts w:hint="eastAsia" w:ascii="仿宋" w:hAnsi="仿宋" w:eastAsia="仿宋" w:cs="仿宋"/>
                <w:kern w:val="0"/>
                <w:sz w:val="24"/>
                <w:lang w:val="en-US" w:eastAsia="zh-CN"/>
              </w:rPr>
              <w:t>大源渡航电枢纽至大浦狮塘段和洣水、永乐江衡东</w:t>
            </w:r>
            <w:r>
              <w:rPr>
                <w:rFonts w:hint="eastAsia" w:ascii="仿宋" w:hAnsi="仿宋" w:eastAsia="仿宋" w:cs="仿宋"/>
                <w:kern w:val="0"/>
                <w:sz w:val="24"/>
              </w:rPr>
              <w:t>段退捕禁渔政策，查处和打击电渔、毒渔、炸渔等违法犯罪行为。例行检查发现违法线索立案率达到100%，投诉举报案例查处率100%，上级交办，其他部门移交案件查处率100%。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部门整体支出</w:t>
            </w:r>
          </w:p>
          <w:p>
            <w:pPr>
              <w:widowControl w:val="0"/>
              <w:jc w:val="center"/>
              <w:rPr>
                <w:rFonts w:hint="eastAsia" w:ascii="仿宋" w:hAnsi="仿宋" w:eastAsia="仿宋" w:cs="仿宋"/>
                <w:sz w:val="24"/>
                <w:szCs w:val="24"/>
              </w:rPr>
            </w:pPr>
            <w:r>
              <w:rPr>
                <w:rFonts w:hint="eastAsia" w:ascii="仿宋" w:hAnsi="仿宋" w:eastAsia="仿宋" w:cs="仿宋"/>
                <w:sz w:val="24"/>
                <w:szCs w:val="24"/>
              </w:rPr>
              <w:t>年度绩效指标</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一级指标</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二级指标</w:t>
            </w:r>
          </w:p>
        </w:tc>
        <w:tc>
          <w:tcPr>
            <w:tcW w:w="397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三级指标</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产出指标</w:t>
            </w:r>
          </w:p>
        </w:tc>
        <w:tc>
          <w:tcPr>
            <w:tcW w:w="1365" w:type="dxa"/>
            <w:vMerge w:val="restart"/>
            <w:tcBorders>
              <w:top w:val="single" w:color="auto" w:sz="4" w:space="0"/>
              <w:left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rPr>
              <w:t>数量指标</w:t>
            </w:r>
          </w:p>
          <w:p>
            <w:pPr>
              <w:widowControl w:val="0"/>
              <w:jc w:val="center"/>
              <w:rPr>
                <w:rFonts w:hint="default" w:eastAsia="微软雅黑"/>
                <w:lang w:val="en-US" w:eastAsia="zh-CN"/>
              </w:rP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rPr>
              <w:t>本单位财政供养人员</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rPr>
              <w:t>在职人员</w:t>
            </w:r>
            <w:r>
              <w:rPr>
                <w:rFonts w:hint="eastAsia" w:ascii="仿宋" w:hAnsi="仿宋" w:eastAsia="仿宋" w:cs="仿宋"/>
                <w:sz w:val="24"/>
                <w:szCs w:val="24"/>
                <w:lang w:val="en-US" w:eastAsia="zh-CN"/>
              </w:rPr>
              <w:t>45</w:t>
            </w:r>
            <w:r>
              <w:rPr>
                <w:rFonts w:hint="eastAsia" w:ascii="仿宋" w:hAnsi="仿宋" w:eastAsia="仿宋" w:cs="仿宋"/>
                <w:sz w:val="24"/>
                <w:szCs w:val="24"/>
              </w:rPr>
              <w:t>人，退休人员</w:t>
            </w:r>
            <w:r>
              <w:rPr>
                <w:rFonts w:hint="eastAsia" w:ascii="仿宋" w:hAnsi="仿宋" w:eastAsia="仿宋" w:cs="仿宋"/>
                <w:sz w:val="24"/>
                <w:szCs w:val="24"/>
                <w:lang w:val="en-US" w:eastAsia="zh-CN"/>
              </w:rPr>
              <w:t>6</w:t>
            </w:r>
            <w:r>
              <w:rPr>
                <w:rFonts w:hint="eastAsia" w:ascii="仿宋" w:hAnsi="仿宋" w:eastAsia="仿宋" w:cs="仿宋"/>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jc w:val="center"/>
              <w:rPr>
                <w:rFonts w:hint="eastAsia" w:ascii="仿宋" w:hAnsi="仿宋" w:eastAsia="仿宋" w:cs="仿宋"/>
                <w:sz w:val="24"/>
                <w:szCs w:val="24"/>
              </w:rP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720" w:firstLineChars="30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农业投入品监管及执法</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 w:hAnsi="仿宋" w:eastAsia="仿宋" w:cs="仿宋"/>
                <w:sz w:val="24"/>
                <w:szCs w:val="24"/>
                <w:lang w:val="en-US" w:eastAsia="zh-CN"/>
              </w:rPr>
            </w:pPr>
            <w:r>
              <w:rPr>
                <w:rFonts w:hint="eastAsia" w:ascii="宋体" w:hAnsi="宋体" w:eastAsia="仿宋" w:cs="宋体"/>
                <w:kern w:val="0"/>
                <w:sz w:val="24"/>
                <w:lang w:val="en-US" w:eastAsia="zh-CN"/>
              </w:rPr>
              <w:t>500次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jc w:val="center"/>
              <w:rPr>
                <w:rFonts w:hint="eastAsia" w:ascii="仿宋" w:hAnsi="仿宋" w:eastAsia="仿宋" w:cs="仿宋"/>
                <w:sz w:val="24"/>
                <w:szCs w:val="24"/>
              </w:rP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rPr>
              <w:t>农村村民违法建房监管执法</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500次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jc w:val="center"/>
              <w:rPr>
                <w:rFonts w:hint="eastAsia" w:ascii="仿宋" w:hAnsi="仿宋" w:eastAsia="仿宋" w:cs="仿宋"/>
                <w:sz w:val="24"/>
                <w:szCs w:val="24"/>
              </w:rP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渔业渔政执法</w:t>
            </w:r>
          </w:p>
        </w:tc>
        <w:tc>
          <w:tcPr>
            <w:tcW w:w="1395" w:type="dxa"/>
            <w:tcBorders>
              <w:top w:val="single" w:color="auto" w:sz="4" w:space="0"/>
              <w:left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125</w:t>
            </w:r>
            <w:r>
              <w:rPr>
                <w:rFonts w:hint="eastAsia" w:ascii="仿宋" w:hAnsi="仿宋" w:eastAsia="仿宋" w:cs="仿宋"/>
                <w:sz w:val="24"/>
                <w:szCs w:val="24"/>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31" w:type="dxa"/>
            <w:vMerge w:val="continue"/>
            <w:tcBorders>
              <w:left w:val="single" w:color="auto" w:sz="4" w:space="0"/>
              <w:bottom w:val="single" w:color="auto" w:sz="4" w:space="0"/>
              <w:right w:val="single" w:color="auto" w:sz="4" w:space="0"/>
            </w:tcBorders>
            <w:vAlign w:val="center"/>
          </w:tcPr>
          <w:p>
            <w:pPr>
              <w:widowControl w:val="0"/>
              <w:jc w:val="center"/>
            </w:pPr>
          </w:p>
        </w:tc>
        <w:tc>
          <w:tcPr>
            <w:tcW w:w="1380" w:type="dxa"/>
            <w:vMerge w:val="continue"/>
            <w:tcBorders>
              <w:left w:val="single" w:color="auto" w:sz="4" w:space="0"/>
              <w:bottom w:val="single" w:color="auto" w:sz="4" w:space="0"/>
              <w:right w:val="single" w:color="auto" w:sz="4" w:space="0"/>
            </w:tcBorders>
            <w:vAlign w:val="center"/>
          </w:tcPr>
          <w:p>
            <w:pPr>
              <w:widowControl w:val="0"/>
              <w:jc w:val="center"/>
            </w:pPr>
          </w:p>
        </w:tc>
        <w:tc>
          <w:tcPr>
            <w:tcW w:w="1365" w:type="dxa"/>
            <w:vMerge w:val="continue"/>
            <w:tcBorders>
              <w:left w:val="single" w:color="auto" w:sz="4" w:space="0"/>
              <w:right w:val="single" w:color="auto" w:sz="4" w:space="0"/>
            </w:tcBorders>
            <w:vAlign w:val="center"/>
          </w:tcPr>
          <w:p>
            <w:pPr>
              <w:widowControl w:val="0"/>
              <w:jc w:val="cente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生猪产地检疫和屠宰检疫电子出证</w:t>
            </w:r>
          </w:p>
        </w:tc>
        <w:tc>
          <w:tcPr>
            <w:tcW w:w="1395" w:type="dxa"/>
            <w:tcBorders>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31" w:type="dxa"/>
            <w:vMerge w:val="continue"/>
            <w:tcBorders>
              <w:left w:val="single" w:color="auto" w:sz="4" w:space="0"/>
              <w:bottom w:val="single" w:color="auto" w:sz="4" w:space="0"/>
              <w:right w:val="single" w:color="auto" w:sz="4" w:space="0"/>
            </w:tcBorders>
            <w:vAlign w:val="center"/>
          </w:tcPr>
          <w:p>
            <w:pPr>
              <w:widowControl w:val="0"/>
              <w:jc w:val="center"/>
            </w:pPr>
          </w:p>
        </w:tc>
        <w:tc>
          <w:tcPr>
            <w:tcW w:w="1380" w:type="dxa"/>
            <w:vMerge w:val="continue"/>
            <w:tcBorders>
              <w:left w:val="single" w:color="auto" w:sz="4" w:space="0"/>
              <w:bottom w:val="single" w:color="auto" w:sz="4" w:space="0"/>
              <w:right w:val="single" w:color="auto" w:sz="4" w:space="0"/>
            </w:tcBorders>
            <w:vAlign w:val="center"/>
          </w:tcPr>
          <w:p>
            <w:pPr>
              <w:widowControl w:val="0"/>
              <w:jc w:val="center"/>
            </w:pPr>
          </w:p>
        </w:tc>
        <w:tc>
          <w:tcPr>
            <w:tcW w:w="1365" w:type="dxa"/>
            <w:vMerge w:val="continue"/>
            <w:tcBorders>
              <w:left w:val="single" w:color="auto" w:sz="4" w:space="0"/>
              <w:right w:val="single" w:color="auto" w:sz="4" w:space="0"/>
            </w:tcBorders>
            <w:vAlign w:val="center"/>
          </w:tcPr>
          <w:p>
            <w:pPr>
              <w:widowControl w:val="0"/>
              <w:jc w:val="center"/>
              <w:rPr>
                <w:rFonts w:hint="default" w:eastAsia="微软雅黑"/>
                <w:lang w:val="en-US" w:eastAsia="zh-CN"/>
              </w:rP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生猪定点屠宰监测</w:t>
            </w:r>
          </w:p>
        </w:tc>
        <w:tc>
          <w:tcPr>
            <w:tcW w:w="1395" w:type="dxa"/>
            <w:tcBorders>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31" w:type="dxa"/>
            <w:vMerge w:val="continue"/>
            <w:tcBorders>
              <w:left w:val="single" w:color="auto" w:sz="4" w:space="0"/>
              <w:bottom w:val="single" w:color="auto" w:sz="4" w:space="0"/>
              <w:right w:val="single" w:color="auto" w:sz="4" w:space="0"/>
            </w:tcBorders>
            <w:vAlign w:val="center"/>
          </w:tcPr>
          <w:p>
            <w:pPr>
              <w:widowControl w:val="0"/>
              <w:jc w:val="center"/>
            </w:pPr>
          </w:p>
        </w:tc>
        <w:tc>
          <w:tcPr>
            <w:tcW w:w="1380" w:type="dxa"/>
            <w:vMerge w:val="continue"/>
            <w:tcBorders>
              <w:left w:val="single" w:color="auto" w:sz="4" w:space="0"/>
              <w:bottom w:val="single" w:color="auto" w:sz="4" w:space="0"/>
              <w:right w:val="single" w:color="auto" w:sz="4" w:space="0"/>
            </w:tcBorders>
            <w:vAlign w:val="center"/>
          </w:tcPr>
          <w:p>
            <w:pPr>
              <w:widowControl w:val="0"/>
              <w:jc w:val="center"/>
            </w:pPr>
          </w:p>
        </w:tc>
        <w:tc>
          <w:tcPr>
            <w:tcW w:w="1365" w:type="dxa"/>
            <w:vMerge w:val="continue"/>
            <w:tcBorders>
              <w:left w:val="single" w:color="auto" w:sz="4" w:space="0"/>
              <w:right w:val="single" w:color="auto" w:sz="4" w:space="0"/>
            </w:tcBorders>
            <w:vAlign w:val="center"/>
          </w:tcPr>
          <w:p>
            <w:pPr>
              <w:widowControl w:val="0"/>
              <w:jc w:val="cente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960" w:firstLineChars="400"/>
              <w:jc w:val="both"/>
              <w:rPr>
                <w:rFonts w:hint="eastAsia" w:ascii="仿宋" w:hAnsi="仿宋" w:eastAsia="仿宋" w:cs="仿宋"/>
                <w:sz w:val="24"/>
                <w:szCs w:val="24"/>
                <w:lang w:val="en-US" w:eastAsia="zh-CN"/>
              </w:rPr>
            </w:pPr>
            <w:r>
              <w:rPr>
                <w:rFonts w:hint="eastAsia" w:ascii="仿宋" w:hAnsi="仿宋" w:eastAsia="仿宋" w:cs="仿宋"/>
                <w:bCs/>
                <w:kern w:val="0"/>
                <w:sz w:val="24"/>
                <w:szCs w:val="24"/>
                <w:lang w:val="en-US" w:eastAsia="zh-CN"/>
              </w:rPr>
              <w:t>动物卫生监督</w:t>
            </w:r>
          </w:p>
        </w:tc>
        <w:tc>
          <w:tcPr>
            <w:tcW w:w="1395" w:type="dxa"/>
            <w:tcBorders>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31" w:type="dxa"/>
            <w:vMerge w:val="continue"/>
            <w:tcBorders>
              <w:left w:val="single" w:color="auto" w:sz="4" w:space="0"/>
              <w:bottom w:val="single" w:color="auto" w:sz="4" w:space="0"/>
              <w:right w:val="single" w:color="auto" w:sz="4" w:space="0"/>
            </w:tcBorders>
            <w:vAlign w:val="center"/>
          </w:tcPr>
          <w:p>
            <w:pPr>
              <w:widowControl w:val="0"/>
              <w:jc w:val="center"/>
            </w:pPr>
          </w:p>
        </w:tc>
        <w:tc>
          <w:tcPr>
            <w:tcW w:w="1380" w:type="dxa"/>
            <w:vMerge w:val="continue"/>
            <w:tcBorders>
              <w:left w:val="single" w:color="auto" w:sz="4" w:space="0"/>
              <w:bottom w:val="single" w:color="auto" w:sz="4" w:space="0"/>
              <w:right w:val="single" w:color="auto" w:sz="4" w:space="0"/>
            </w:tcBorders>
            <w:vAlign w:val="center"/>
          </w:tcPr>
          <w:p>
            <w:pPr>
              <w:widowControl w:val="0"/>
              <w:jc w:val="center"/>
            </w:pPr>
          </w:p>
        </w:tc>
        <w:tc>
          <w:tcPr>
            <w:tcW w:w="1365" w:type="dxa"/>
            <w:vMerge w:val="continue"/>
            <w:tcBorders>
              <w:left w:val="single" w:color="auto" w:sz="4" w:space="0"/>
              <w:right w:val="single" w:color="auto" w:sz="4" w:space="0"/>
            </w:tcBorders>
            <w:vAlign w:val="center"/>
          </w:tcPr>
          <w:p>
            <w:pPr>
              <w:widowControl w:val="0"/>
              <w:jc w:val="cente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无害化处理监管</w:t>
            </w:r>
          </w:p>
        </w:tc>
        <w:tc>
          <w:tcPr>
            <w:tcW w:w="1395" w:type="dxa"/>
            <w:tcBorders>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31" w:type="dxa"/>
            <w:vMerge w:val="continue"/>
            <w:tcBorders>
              <w:left w:val="single" w:color="auto" w:sz="4" w:space="0"/>
              <w:bottom w:val="single" w:color="auto" w:sz="4" w:space="0"/>
              <w:right w:val="single" w:color="auto" w:sz="4" w:space="0"/>
            </w:tcBorders>
            <w:vAlign w:val="center"/>
          </w:tcPr>
          <w:p>
            <w:pPr>
              <w:widowControl w:val="0"/>
              <w:jc w:val="center"/>
            </w:pPr>
          </w:p>
        </w:tc>
        <w:tc>
          <w:tcPr>
            <w:tcW w:w="1380" w:type="dxa"/>
            <w:vMerge w:val="continue"/>
            <w:tcBorders>
              <w:left w:val="single" w:color="auto" w:sz="4" w:space="0"/>
              <w:bottom w:val="single" w:color="auto" w:sz="4" w:space="0"/>
              <w:right w:val="single" w:color="auto" w:sz="4" w:space="0"/>
            </w:tcBorders>
            <w:vAlign w:val="center"/>
          </w:tcPr>
          <w:p>
            <w:pPr>
              <w:widowControl w:val="0"/>
              <w:jc w:val="center"/>
            </w:pPr>
          </w:p>
        </w:tc>
        <w:tc>
          <w:tcPr>
            <w:tcW w:w="1365" w:type="dxa"/>
            <w:vMerge w:val="continue"/>
            <w:tcBorders>
              <w:left w:val="single" w:color="auto" w:sz="4" w:space="0"/>
              <w:right w:val="single" w:color="auto" w:sz="4" w:space="0"/>
            </w:tcBorders>
            <w:vAlign w:val="center"/>
          </w:tcPr>
          <w:p>
            <w:pPr>
              <w:widowControl w:val="0"/>
              <w:jc w:val="cente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畜牧兽医专项执法</w:t>
            </w:r>
          </w:p>
        </w:tc>
        <w:tc>
          <w:tcPr>
            <w:tcW w:w="1395" w:type="dxa"/>
            <w:tcBorders>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65" w:type="dxa"/>
            <w:vMerge w:val="restart"/>
            <w:tcBorders>
              <w:top w:val="single" w:color="auto" w:sz="4" w:space="0"/>
              <w:left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rPr>
              <w:t>质量指标</w:t>
            </w: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在职人员控制率</w:t>
            </w:r>
          </w:p>
        </w:tc>
        <w:tc>
          <w:tcPr>
            <w:tcW w:w="1395" w:type="dxa"/>
            <w:tcBorders>
              <w:top w:val="single" w:color="auto" w:sz="4" w:space="0"/>
              <w:left w:val="single" w:color="auto" w:sz="4" w:space="0"/>
              <w:right w:val="single" w:color="auto" w:sz="4" w:space="0"/>
            </w:tcBorders>
            <w:vAlign w:val="center"/>
          </w:tcPr>
          <w:p>
            <w:pPr>
              <w:widowControl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严格按照部门三定方案执行</w:t>
            </w:r>
            <w:r>
              <w:rPr>
                <w:rFonts w:hint="eastAsia" w:ascii="宋体" w:hAnsi="宋体" w:eastAsia="宋体" w:cs="宋体"/>
                <w:sz w:val="24"/>
                <w:szCs w:val="24"/>
                <w:lang w:val="en-US" w:eastAsia="zh-CN"/>
              </w:rPr>
              <w:t>≦</w:t>
            </w:r>
            <w:r>
              <w:rPr>
                <w:rFonts w:hint="eastAsia" w:ascii="仿宋" w:hAnsi="仿宋" w:eastAsia="仿宋" w:cs="仿宋"/>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365" w:type="dxa"/>
            <w:vMerge w:val="continue"/>
            <w:tcBorders>
              <w:left w:val="single" w:color="auto" w:sz="4" w:space="0"/>
              <w:right w:val="single" w:color="auto" w:sz="4" w:space="0"/>
            </w:tcBorders>
            <w:vAlign w:val="center"/>
          </w:tcPr>
          <w:p>
            <w:pPr>
              <w:widowControl w:val="0"/>
              <w:jc w:val="cente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sz w:val="24"/>
                <w:szCs w:val="24"/>
                <w:lang w:val="en-US" w:eastAsia="zh-CN"/>
              </w:rPr>
            </w:pPr>
            <w:r>
              <w:rPr>
                <w:rFonts w:hint="eastAsia" w:ascii="仿宋" w:hAnsi="仿宋" w:eastAsia="仿宋" w:cs="仿宋"/>
                <w:kern w:val="0"/>
                <w:sz w:val="24"/>
              </w:rPr>
              <w:t>监督检查发现违法线索立案查处</w:t>
            </w:r>
          </w:p>
        </w:tc>
        <w:tc>
          <w:tcPr>
            <w:tcW w:w="1395" w:type="dxa"/>
            <w:tcBorders>
              <w:left w:val="single" w:color="auto" w:sz="4" w:space="0"/>
              <w:right w:val="single" w:color="auto" w:sz="4" w:space="0"/>
            </w:tcBorders>
            <w:vAlign w:val="center"/>
          </w:tcPr>
          <w:p>
            <w:pPr>
              <w:widowControl/>
              <w:spacing w:line="240" w:lineRule="exact"/>
              <w:jc w:val="center"/>
              <w:rPr>
                <w:rFonts w:hint="default" w:ascii="仿宋" w:hAnsi="仿宋" w:eastAsia="仿宋" w:cs="仿宋"/>
                <w:sz w:val="24"/>
                <w:szCs w:val="24"/>
                <w:lang w:val="en-US" w:eastAsia="zh-CN"/>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365" w:type="dxa"/>
            <w:vMerge w:val="continue"/>
            <w:tcBorders>
              <w:left w:val="single" w:color="auto" w:sz="4" w:space="0"/>
              <w:right w:val="single" w:color="auto" w:sz="4" w:space="0"/>
            </w:tcBorders>
            <w:vAlign w:val="center"/>
          </w:tcPr>
          <w:p>
            <w:pPr>
              <w:widowControl w:val="0"/>
              <w:jc w:val="cente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sz w:val="24"/>
                <w:szCs w:val="24"/>
                <w:lang w:eastAsia="zh-CN"/>
              </w:rPr>
            </w:pPr>
            <w:r>
              <w:rPr>
                <w:rFonts w:hint="eastAsia" w:ascii="仿宋" w:hAnsi="仿宋" w:eastAsia="仿宋" w:cs="仿宋"/>
                <w:kern w:val="0"/>
                <w:sz w:val="24"/>
              </w:rPr>
              <w:t>投诉举报线索处置率</w:t>
            </w:r>
          </w:p>
        </w:tc>
        <w:tc>
          <w:tcPr>
            <w:tcW w:w="1395" w:type="dxa"/>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sz w:val="24"/>
                <w:szCs w:val="24"/>
                <w:lang w:eastAsia="zh-CN"/>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31" w:type="dxa"/>
            <w:vMerge w:val="continue"/>
            <w:tcBorders>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lang w:eastAsia="zh-CN"/>
              </w:rPr>
            </w:pPr>
          </w:p>
        </w:tc>
        <w:tc>
          <w:tcPr>
            <w:tcW w:w="1380" w:type="dxa"/>
            <w:vMerge w:val="continue"/>
            <w:tcBorders>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lang w:eastAsia="zh-CN"/>
              </w:rPr>
            </w:pPr>
          </w:p>
        </w:tc>
        <w:tc>
          <w:tcPr>
            <w:tcW w:w="1365" w:type="dxa"/>
            <w:vMerge w:val="continue"/>
            <w:tcBorders>
              <w:left w:val="single" w:color="auto" w:sz="4" w:space="0"/>
              <w:right w:val="single" w:color="auto" w:sz="4" w:space="0"/>
            </w:tcBorders>
            <w:vAlign w:val="center"/>
          </w:tcPr>
          <w:p>
            <w:pPr>
              <w:widowControl w:val="0"/>
              <w:jc w:val="center"/>
              <w:rPr>
                <w:rFonts w:hint="eastAsia" w:ascii="仿宋" w:hAnsi="仿宋" w:eastAsia="仿宋" w:cs="仿宋"/>
                <w:sz w:val="24"/>
                <w:szCs w:val="24"/>
                <w:lang w:eastAsia="zh-CN"/>
              </w:rP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24"/>
                <w:szCs w:val="24"/>
                <w:lang w:val="en-US" w:eastAsia="zh-CN" w:bidi="ar-SA"/>
              </w:rPr>
            </w:pPr>
            <w:r>
              <w:rPr>
                <w:rFonts w:hint="eastAsia" w:ascii="仿宋" w:hAnsi="仿宋" w:eastAsia="仿宋" w:cs="仿宋"/>
                <w:kern w:val="0"/>
                <w:sz w:val="24"/>
              </w:rPr>
              <w:t>上级交办、相关部门移交案件查处</w:t>
            </w:r>
          </w:p>
        </w:tc>
        <w:tc>
          <w:tcPr>
            <w:tcW w:w="1395" w:type="dxa"/>
            <w:tcBorders>
              <w:left w:val="single" w:color="auto" w:sz="4" w:space="0"/>
              <w:right w:val="single" w:color="auto" w:sz="4" w:space="0"/>
            </w:tcBorders>
            <w:vAlign w:val="center"/>
          </w:tcPr>
          <w:p>
            <w:pPr>
              <w:spacing w:line="240" w:lineRule="exact"/>
              <w:jc w:val="center"/>
              <w:rPr>
                <w:rFonts w:hint="eastAsia" w:ascii="仿宋" w:hAnsi="仿宋" w:eastAsia="仿宋" w:cs="仿宋"/>
                <w:sz w:val="24"/>
                <w:szCs w:val="24"/>
                <w:lang w:val="en-US" w:eastAsia="zh-CN" w:bidi="ar-SA"/>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widowControl w:val="0"/>
              <w:jc w:val="center"/>
              <w:rPr>
                <w:rFonts w:hint="eastAsia" w:ascii="仿宋" w:hAnsi="仿宋" w:eastAsia="仿宋" w:cs="仿宋"/>
                <w:sz w:val="24"/>
                <w:szCs w:val="24"/>
              </w:rP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24"/>
                <w:szCs w:val="24"/>
                <w:lang w:val="en-US" w:eastAsia="zh-CN" w:bidi="ar-SA"/>
              </w:rPr>
            </w:pPr>
            <w:r>
              <w:rPr>
                <w:rFonts w:hint="eastAsia" w:ascii="仿宋" w:hAnsi="仿宋" w:eastAsia="仿宋" w:cs="仿宋"/>
                <w:kern w:val="0"/>
                <w:sz w:val="24"/>
              </w:rPr>
              <w:t>立案结案率100%，不发生行政诉讼败诉案件</w:t>
            </w:r>
          </w:p>
        </w:tc>
        <w:tc>
          <w:tcPr>
            <w:tcW w:w="1395" w:type="dxa"/>
            <w:tcBorders>
              <w:left w:val="single" w:color="auto" w:sz="4" w:space="0"/>
              <w:right w:val="single" w:color="auto" w:sz="4" w:space="0"/>
            </w:tcBorders>
            <w:vAlign w:val="center"/>
          </w:tcPr>
          <w:p>
            <w:pPr>
              <w:spacing w:line="240" w:lineRule="exact"/>
              <w:jc w:val="center"/>
              <w:rPr>
                <w:rFonts w:hint="default" w:ascii="仿宋" w:hAnsi="仿宋" w:eastAsia="仿宋" w:cs="仿宋"/>
                <w:sz w:val="24"/>
                <w:szCs w:val="24"/>
                <w:lang w:val="en-US" w:eastAsia="zh-CN" w:bidi="ar-SA"/>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65" w:type="dxa"/>
            <w:vMerge w:val="restart"/>
            <w:tcBorders>
              <w:top w:val="single" w:color="auto" w:sz="4" w:space="0"/>
              <w:left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rPr>
              <w:t>成本指标</w:t>
            </w: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rPr>
              <w:t>严格按照预算执行本单位的人员经费支出和机关运行经费支出</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lang w:val="en-US" w:eastAsia="zh-CN"/>
              </w:rPr>
              <w:t>473.17</w:t>
            </w:r>
            <w:r>
              <w:rPr>
                <w:rFonts w:hint="eastAsia" w:ascii="仿宋" w:hAnsi="仿宋" w:eastAsia="仿宋" w:cs="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jc w:val="center"/>
              <w:rPr>
                <w:rFonts w:hint="eastAsia" w:ascii="仿宋" w:hAnsi="仿宋" w:eastAsia="仿宋" w:cs="仿宋"/>
                <w:sz w:val="24"/>
                <w:szCs w:val="24"/>
              </w:rP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720" w:firstLineChars="300"/>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农业投入品监管及执法</w:t>
            </w:r>
          </w:p>
        </w:tc>
        <w:tc>
          <w:tcPr>
            <w:tcW w:w="1395" w:type="dxa"/>
            <w:tcBorders>
              <w:top w:val="single" w:color="auto" w:sz="4" w:space="0"/>
              <w:left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bidi="ar-SA"/>
              </w:rPr>
            </w:pPr>
            <w:r>
              <w:rPr>
                <w:rFonts w:hint="default" w:ascii="仿宋" w:hAnsi="仿宋" w:eastAsia="仿宋" w:cs="仿宋"/>
                <w:sz w:val="24"/>
                <w:szCs w:val="24"/>
                <w:lang w:val="en-US" w:eastAsia="zh-CN"/>
              </w:rPr>
              <w:t>400</w:t>
            </w:r>
            <w:r>
              <w:rPr>
                <w:rFonts w:hint="eastAsia" w:ascii="仿宋" w:hAnsi="仿宋" w:eastAsia="仿宋" w:cs="仿宋"/>
                <w:sz w:val="24"/>
                <w:szCs w:val="24"/>
                <w:lang w:val="en-US" w:eastAsia="zh-CN"/>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365" w:type="dxa"/>
            <w:vMerge w:val="continue"/>
            <w:tcBorders>
              <w:left w:val="single" w:color="auto" w:sz="4" w:space="0"/>
              <w:right w:val="single" w:color="auto" w:sz="4" w:space="0"/>
            </w:tcBorders>
            <w:vAlign w:val="center"/>
          </w:tcPr>
          <w:p>
            <w:pPr>
              <w:widowControl w:val="0"/>
              <w:jc w:val="cente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lang w:val="en-US" w:eastAsia="zh-CN"/>
              </w:rPr>
              <w:t>农村村民违法建房监管执法</w:t>
            </w:r>
          </w:p>
        </w:tc>
        <w:tc>
          <w:tcPr>
            <w:tcW w:w="1395" w:type="dxa"/>
            <w:tcBorders>
              <w:left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widowControl w:val="0"/>
              <w:jc w:val="center"/>
              <w:rPr>
                <w:rFonts w:hint="eastAsia" w:ascii="仿宋" w:hAnsi="仿宋" w:eastAsia="仿宋" w:cs="仿宋"/>
                <w:sz w:val="24"/>
                <w:szCs w:val="24"/>
              </w:rP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lang w:val="en-US" w:eastAsia="zh-CN"/>
              </w:rPr>
              <w:t>渔业渔政执法</w:t>
            </w:r>
          </w:p>
        </w:tc>
        <w:tc>
          <w:tcPr>
            <w:tcW w:w="1395" w:type="dxa"/>
            <w:tcBorders>
              <w:left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rPr>
              <w:t>1200元/次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365" w:type="dxa"/>
            <w:vMerge w:val="continue"/>
            <w:tcBorders>
              <w:left w:val="single" w:color="auto" w:sz="4" w:space="0"/>
              <w:right w:val="single" w:color="auto" w:sz="4" w:space="0"/>
            </w:tcBorders>
            <w:vAlign w:val="center"/>
          </w:tcPr>
          <w:p>
            <w:pPr>
              <w:widowControl w:val="0"/>
              <w:jc w:val="cente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生猪产地检疫和屠宰检疫电子出证</w:t>
            </w:r>
          </w:p>
        </w:tc>
        <w:tc>
          <w:tcPr>
            <w:tcW w:w="1395" w:type="dxa"/>
            <w:tcBorders>
              <w:left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365" w:type="dxa"/>
            <w:vMerge w:val="continue"/>
            <w:tcBorders>
              <w:left w:val="single" w:color="auto" w:sz="4" w:space="0"/>
              <w:right w:val="single" w:color="auto" w:sz="4" w:space="0"/>
            </w:tcBorders>
            <w:vAlign w:val="center"/>
          </w:tcPr>
          <w:p>
            <w:pPr>
              <w:widowControl w:val="0"/>
              <w:jc w:val="cente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生猪定点屠宰监测</w:t>
            </w:r>
          </w:p>
        </w:tc>
        <w:tc>
          <w:tcPr>
            <w:tcW w:w="1395" w:type="dxa"/>
            <w:tcBorders>
              <w:left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365" w:type="dxa"/>
            <w:vMerge w:val="continue"/>
            <w:tcBorders>
              <w:left w:val="single" w:color="auto" w:sz="4" w:space="0"/>
              <w:right w:val="single" w:color="auto" w:sz="4" w:space="0"/>
            </w:tcBorders>
            <w:vAlign w:val="center"/>
          </w:tcPr>
          <w:p>
            <w:pPr>
              <w:widowControl w:val="0"/>
              <w:jc w:val="cente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960" w:firstLineChars="400"/>
              <w:jc w:val="both"/>
              <w:rPr>
                <w:rFonts w:hint="eastAsia" w:ascii="仿宋" w:hAnsi="仿宋" w:eastAsia="仿宋" w:cs="仿宋"/>
                <w:sz w:val="24"/>
                <w:szCs w:val="24"/>
              </w:rPr>
            </w:pPr>
            <w:r>
              <w:rPr>
                <w:rFonts w:hint="eastAsia" w:ascii="仿宋" w:hAnsi="仿宋" w:eastAsia="仿宋" w:cs="仿宋"/>
                <w:bCs/>
                <w:kern w:val="0"/>
                <w:sz w:val="24"/>
                <w:szCs w:val="24"/>
                <w:lang w:val="en-US" w:eastAsia="zh-CN"/>
              </w:rPr>
              <w:t>动物卫生监督</w:t>
            </w:r>
          </w:p>
        </w:tc>
        <w:tc>
          <w:tcPr>
            <w:tcW w:w="1395" w:type="dxa"/>
            <w:tcBorders>
              <w:left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365" w:type="dxa"/>
            <w:vMerge w:val="continue"/>
            <w:tcBorders>
              <w:left w:val="single" w:color="auto" w:sz="4" w:space="0"/>
              <w:right w:val="single" w:color="auto" w:sz="4" w:space="0"/>
            </w:tcBorders>
            <w:vAlign w:val="center"/>
          </w:tcPr>
          <w:p>
            <w:pPr>
              <w:widowControl w:val="0"/>
              <w:jc w:val="cente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lang w:val="en-US" w:eastAsia="zh-CN"/>
              </w:rPr>
              <w:t>无害化处理监管</w:t>
            </w:r>
          </w:p>
        </w:tc>
        <w:tc>
          <w:tcPr>
            <w:tcW w:w="1395" w:type="dxa"/>
            <w:tcBorders>
              <w:left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pPr>
          </w:p>
        </w:tc>
        <w:tc>
          <w:tcPr>
            <w:tcW w:w="1365" w:type="dxa"/>
            <w:vMerge w:val="continue"/>
            <w:tcBorders>
              <w:left w:val="single" w:color="auto" w:sz="4" w:space="0"/>
              <w:bottom w:val="single" w:color="auto" w:sz="4" w:space="0"/>
              <w:right w:val="single" w:color="auto" w:sz="4" w:space="0"/>
            </w:tcBorders>
            <w:vAlign w:val="center"/>
          </w:tcPr>
          <w:p>
            <w:pPr>
              <w:widowControl w:val="0"/>
              <w:jc w:val="cente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畜牧兽医专项执法</w:t>
            </w:r>
          </w:p>
        </w:tc>
        <w:tc>
          <w:tcPr>
            <w:tcW w:w="1395" w:type="dxa"/>
            <w:tcBorders>
              <w:left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65" w:type="dxa"/>
            <w:vMerge w:val="restart"/>
            <w:tcBorders>
              <w:top w:val="single" w:color="auto" w:sz="4" w:space="0"/>
              <w:left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rPr>
              <w:t>时效指标</w:t>
            </w: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960" w:firstLineChars="400"/>
              <w:jc w:val="both"/>
              <w:rPr>
                <w:rFonts w:hint="default"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人员工资及福利</w:t>
            </w:r>
          </w:p>
        </w:tc>
        <w:tc>
          <w:tcPr>
            <w:tcW w:w="1395"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宋体" w:hAnsi="宋体" w:eastAsia="微软雅黑" w:cs="宋体"/>
                <w:kern w:val="0"/>
                <w:sz w:val="24"/>
                <w:szCs w:val="22"/>
                <w:lang w:val="en-US" w:eastAsia="zh-CN" w:bidi="ar-SA"/>
              </w:rPr>
            </w:pPr>
            <w:r>
              <w:rPr>
                <w:rFonts w:hint="eastAsia" w:ascii="宋体" w:hAnsi="宋体" w:cs="宋体"/>
                <w:kern w:val="0"/>
                <w:sz w:val="24"/>
                <w:szCs w:val="22"/>
                <w:lang w:val="en-US" w:eastAsia="zh-CN" w:bidi="ar-SA"/>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p>
        </w:tc>
        <w:tc>
          <w:tcPr>
            <w:tcW w:w="1365" w:type="dxa"/>
            <w:vMerge w:val="continue"/>
            <w:tcBorders>
              <w:left w:val="single" w:color="auto" w:sz="4" w:space="0"/>
              <w:right w:val="single" w:color="auto" w:sz="4" w:space="0"/>
            </w:tcBorders>
            <w:vAlign w:val="center"/>
          </w:tcPr>
          <w:p>
            <w:pPr>
              <w:widowControl w:val="0"/>
              <w:jc w:val="center"/>
              <w:rPr>
                <w:rFonts w:hint="eastAsia" w:ascii="仿宋" w:hAnsi="仿宋" w:eastAsia="仿宋" w:cs="仿宋"/>
                <w:sz w:val="24"/>
                <w:szCs w:val="24"/>
              </w:rPr>
            </w:pP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rPr>
              <w:t>各项执法行动</w:t>
            </w:r>
          </w:p>
        </w:tc>
        <w:tc>
          <w:tcPr>
            <w:tcW w:w="1395" w:type="dxa"/>
            <w:tcBorders>
              <w:left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rPr>
              <w:t>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效益指标</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rPr>
              <w:t>经济效益指标</w:t>
            </w:r>
          </w:p>
        </w:tc>
        <w:tc>
          <w:tcPr>
            <w:tcW w:w="39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执法检查、法制宣传、纠纷调解</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促进农民稳定增收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rPr>
              <w:t>社会效益指标</w:t>
            </w: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加大对各项法律、法规、政策和专业的宣传，对</w:t>
            </w:r>
            <w:r>
              <w:rPr>
                <w:rFonts w:hint="eastAsia" w:ascii="仿宋" w:hAnsi="仿宋" w:eastAsia="仿宋" w:cs="仿宋"/>
                <w:kern w:val="0"/>
                <w:sz w:val="24"/>
                <w:szCs w:val="24"/>
              </w:rPr>
              <w:t>违反农业投入品、农产品质量安全、农业资源与环境</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渔业渔政、</w:t>
            </w:r>
            <w:r>
              <w:rPr>
                <w:rFonts w:hint="eastAsia" w:ascii="仿宋" w:hAnsi="仿宋" w:eastAsia="仿宋" w:cs="仿宋"/>
                <w:kern w:val="0"/>
                <w:sz w:val="24"/>
                <w:szCs w:val="24"/>
                <w:lang w:val="en-US" w:eastAsia="zh-CN"/>
              </w:rPr>
              <w:t>畜牧兽医、动物卫生监督、农业机械安全等方面</w:t>
            </w:r>
            <w:r>
              <w:rPr>
                <w:rFonts w:hint="eastAsia" w:ascii="仿宋" w:hAnsi="仿宋" w:eastAsia="仿宋" w:cs="仿宋"/>
                <w:kern w:val="0"/>
                <w:sz w:val="24"/>
                <w:szCs w:val="24"/>
              </w:rPr>
              <w:t>的违法违规行为均得到有效查处和打击</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有效查处和打击违法违规行为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rPr>
              <w:t>生态效益指标</w:t>
            </w: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4"/>
                <w:szCs w:val="24"/>
                <w:lang w:val="en-US" w:eastAsia="zh-CN"/>
              </w:rPr>
            </w:pPr>
            <w:r>
              <w:rPr>
                <w:rFonts w:hint="eastAsia" w:ascii="仿宋" w:hAnsi="仿宋" w:eastAsia="仿宋" w:cs="仿宋"/>
                <w:sz w:val="24"/>
                <w:szCs w:val="24"/>
              </w:rPr>
              <w:t>加强</w:t>
            </w:r>
            <w:r>
              <w:rPr>
                <w:rFonts w:hint="eastAsia" w:ascii="仿宋" w:hAnsi="仿宋" w:eastAsia="仿宋" w:cs="仿宋"/>
                <w:sz w:val="24"/>
                <w:szCs w:val="24"/>
                <w:lang w:val="en-US" w:eastAsia="zh-CN"/>
              </w:rPr>
              <w:t>农业资源、农业野生动植物资源、农业外来物种、农业可再生能源、种质资源保护、水生野生动物保护、自然水域鱼类资源与渔业水域环境保护。</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效</w:t>
            </w:r>
            <w:r>
              <w:rPr>
                <w:rFonts w:hint="eastAsia" w:ascii="仿宋" w:hAnsi="仿宋" w:eastAsia="仿宋" w:cs="仿宋"/>
                <w:sz w:val="24"/>
                <w:szCs w:val="24"/>
                <w:lang w:val="en-US" w:eastAsia="zh-CN"/>
              </w:rPr>
              <w:t>果</w:t>
            </w:r>
            <w:r>
              <w:rPr>
                <w:rFonts w:hint="eastAsia" w:ascii="仿宋" w:hAnsi="仿宋" w:eastAsia="仿宋" w:cs="仿宋"/>
                <w:sz w:val="24"/>
                <w:szCs w:val="24"/>
                <w:lang w:eastAsia="zh-CN"/>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rPr>
              <w:t>可持续影响指标</w:t>
            </w: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rPr>
              <w:t>构建良好的健康</w:t>
            </w:r>
            <w:r>
              <w:rPr>
                <w:rFonts w:hint="eastAsia" w:ascii="仿宋" w:hAnsi="仿宋" w:eastAsia="仿宋" w:cs="仿宋"/>
                <w:sz w:val="24"/>
                <w:szCs w:val="24"/>
                <w:lang w:val="en-US" w:eastAsia="zh-CN"/>
              </w:rPr>
              <w:t>野生动植物、水生野生动物、自然水域鱼类</w:t>
            </w:r>
            <w:r>
              <w:rPr>
                <w:rFonts w:hint="eastAsia" w:ascii="仿宋" w:hAnsi="仿宋" w:eastAsia="仿宋" w:cs="仿宋"/>
                <w:sz w:val="24"/>
                <w:szCs w:val="24"/>
              </w:rPr>
              <w:t>环境，对</w:t>
            </w:r>
            <w:r>
              <w:rPr>
                <w:rFonts w:hint="eastAsia" w:ascii="仿宋" w:hAnsi="仿宋" w:eastAsia="仿宋" w:cs="仿宋"/>
                <w:sz w:val="24"/>
                <w:szCs w:val="24"/>
                <w:lang w:val="en-US" w:eastAsia="zh-CN"/>
              </w:rPr>
              <w:t>全县农业</w:t>
            </w:r>
            <w:r>
              <w:rPr>
                <w:rFonts w:hint="eastAsia" w:ascii="仿宋" w:hAnsi="仿宋" w:eastAsia="仿宋" w:cs="仿宋"/>
                <w:sz w:val="24"/>
                <w:szCs w:val="24"/>
              </w:rPr>
              <w:t>发展有效促进，提升大众健康水平</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促进生态平衡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rPr>
              <w:t>社会公众或服务对象满意度</w:t>
            </w:r>
          </w:p>
        </w:tc>
        <w:tc>
          <w:tcPr>
            <w:tcW w:w="397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rPr>
              <w:t>让服务对象满意</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4"/>
                <w:szCs w:val="24"/>
              </w:rPr>
            </w:pPr>
            <w:r>
              <w:rPr>
                <w:rFonts w:hint="eastAsia" w:ascii="仿宋" w:hAnsi="仿宋" w:eastAsia="仿宋" w:cs="仿宋"/>
                <w:sz w:val="24"/>
                <w:szCs w:val="24"/>
              </w:rPr>
              <w:t>满意率≥9</w:t>
            </w:r>
            <w:r>
              <w:rPr>
                <w:rFonts w:hint="default" w:ascii="仿宋" w:hAnsi="仿宋" w:eastAsia="仿宋" w:cs="仿宋"/>
                <w:sz w:val="24"/>
                <w:szCs w:val="24"/>
                <w:lang w:val="en-US"/>
              </w:rPr>
              <w:t>5</w:t>
            </w:r>
            <w:r>
              <w:rPr>
                <w:rFonts w:hint="eastAsia" w:ascii="仿宋" w:hAnsi="仿宋" w:eastAsia="仿宋" w:cs="仿宋"/>
                <w:sz w:val="24"/>
                <w:szCs w:val="24"/>
              </w:rPr>
              <w:t>%</w:t>
            </w:r>
          </w:p>
        </w:tc>
      </w:tr>
    </w:tbl>
    <w:p>
      <w:pPr>
        <w:tabs>
          <w:tab w:val="left" w:pos="1333"/>
          <w:tab w:val="left" w:pos="3793"/>
          <w:tab w:val="left" w:pos="5853"/>
        </w:tabs>
        <w:jc w:val="center"/>
        <w:rPr>
          <w:rFonts w:hint="eastAsia" w:ascii="仿宋" w:hAnsi="仿宋" w:eastAsia="仿宋" w:cs="仿宋"/>
          <w:sz w:val="24"/>
          <w:szCs w:val="24"/>
        </w:rPr>
      </w:pPr>
    </w:p>
    <w:p>
      <w:pPr>
        <w:tabs>
          <w:tab w:val="left" w:pos="1333"/>
          <w:tab w:val="left" w:pos="3793"/>
          <w:tab w:val="left" w:pos="5853"/>
        </w:tabs>
        <w:rPr>
          <w:rFonts w:hint="eastAsia" w:ascii="仿宋" w:hAnsi="仿宋" w:eastAsia="仿宋" w:cs="仿宋"/>
          <w:sz w:val="24"/>
          <w:szCs w:val="24"/>
          <w:lang w:eastAsia="zh-CN"/>
        </w:rPr>
      </w:pPr>
      <w:r>
        <w:rPr>
          <w:rFonts w:hint="eastAsia" w:ascii="仿宋" w:hAnsi="仿宋" w:eastAsia="仿宋" w:cs="仿宋"/>
          <w:sz w:val="24"/>
          <w:szCs w:val="24"/>
        </w:rPr>
        <w:t>填表人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唐红菊  </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 xml:space="preserve">15886410519 </w:t>
      </w:r>
      <w:r>
        <w:rPr>
          <w:rFonts w:hint="eastAsia" w:ascii="仿宋" w:hAnsi="仿宋" w:eastAsia="仿宋" w:cs="仿宋"/>
          <w:sz w:val="24"/>
          <w:szCs w:val="24"/>
        </w:rPr>
        <w:t xml:space="preserve">  填报日期： 202</w:t>
      </w:r>
      <w:r>
        <w:rPr>
          <w:rFonts w:hint="eastAsia" w:ascii="仿宋" w:hAnsi="仿宋" w:eastAsia="仿宋" w:cs="仿宋"/>
          <w:sz w:val="24"/>
          <w:szCs w:val="24"/>
          <w:lang w:val="en-US" w:eastAsia="zh-CN"/>
        </w:rPr>
        <w:t>1</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日 </w:t>
      </w:r>
      <w:r>
        <w:rPr>
          <w:rFonts w:hint="eastAsia" w:ascii="仿宋" w:hAnsi="仿宋" w:eastAsia="仿宋" w:cs="仿宋"/>
          <w:sz w:val="24"/>
          <w:szCs w:val="24"/>
          <w:lang w:val="en-US" w:eastAsia="zh-CN"/>
        </w:rPr>
        <w:t xml:space="preserve"> </w:t>
      </w:r>
      <w:bookmarkStart w:id="0" w:name="_GoBack"/>
      <w:bookmarkEnd w:id="0"/>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单位负责人签字：</w:t>
      </w:r>
    </w:p>
    <w:p>
      <w:pPr>
        <w:spacing w:line="220" w:lineRule="atLeast"/>
      </w:pPr>
    </w:p>
    <w:sectPr>
      <w:pgSz w:w="11906" w:h="16838"/>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3AA1"/>
    <w:rsid w:val="001D51BF"/>
    <w:rsid w:val="00266A7A"/>
    <w:rsid w:val="00323B43"/>
    <w:rsid w:val="003D37D8"/>
    <w:rsid w:val="00426133"/>
    <w:rsid w:val="004358AB"/>
    <w:rsid w:val="006337B5"/>
    <w:rsid w:val="008B7726"/>
    <w:rsid w:val="009E6596"/>
    <w:rsid w:val="00A57F83"/>
    <w:rsid w:val="00AA6103"/>
    <w:rsid w:val="00CE1CE5"/>
    <w:rsid w:val="00D31D50"/>
    <w:rsid w:val="00E25670"/>
    <w:rsid w:val="00E94C63"/>
    <w:rsid w:val="00ED01D2"/>
    <w:rsid w:val="00F11F27"/>
    <w:rsid w:val="046F786C"/>
    <w:rsid w:val="04C152A2"/>
    <w:rsid w:val="05165AD6"/>
    <w:rsid w:val="064213D0"/>
    <w:rsid w:val="0774013C"/>
    <w:rsid w:val="088112E5"/>
    <w:rsid w:val="091F0678"/>
    <w:rsid w:val="09945114"/>
    <w:rsid w:val="0AF1505A"/>
    <w:rsid w:val="0AF210B6"/>
    <w:rsid w:val="0B13460C"/>
    <w:rsid w:val="12A85A39"/>
    <w:rsid w:val="14283CDF"/>
    <w:rsid w:val="16605F40"/>
    <w:rsid w:val="1661539D"/>
    <w:rsid w:val="17A11D84"/>
    <w:rsid w:val="180F7AAF"/>
    <w:rsid w:val="182558ED"/>
    <w:rsid w:val="1ACD2611"/>
    <w:rsid w:val="1D1F5D38"/>
    <w:rsid w:val="1EAD2FD0"/>
    <w:rsid w:val="201E3AD3"/>
    <w:rsid w:val="20F660F1"/>
    <w:rsid w:val="22C43A12"/>
    <w:rsid w:val="253522DE"/>
    <w:rsid w:val="26017BB6"/>
    <w:rsid w:val="26E70EF9"/>
    <w:rsid w:val="28434FE9"/>
    <w:rsid w:val="29E53987"/>
    <w:rsid w:val="2A67008B"/>
    <w:rsid w:val="2B2D5CCD"/>
    <w:rsid w:val="2BD07182"/>
    <w:rsid w:val="2EFF05E8"/>
    <w:rsid w:val="2F8F6562"/>
    <w:rsid w:val="3265689B"/>
    <w:rsid w:val="332422D3"/>
    <w:rsid w:val="33664832"/>
    <w:rsid w:val="36FB47AF"/>
    <w:rsid w:val="371C1EDF"/>
    <w:rsid w:val="393702AD"/>
    <w:rsid w:val="39FF2E25"/>
    <w:rsid w:val="3A1C5D98"/>
    <w:rsid w:val="3AAE0E6B"/>
    <w:rsid w:val="3EB46A72"/>
    <w:rsid w:val="3FB224A1"/>
    <w:rsid w:val="40227077"/>
    <w:rsid w:val="407F5175"/>
    <w:rsid w:val="414862A1"/>
    <w:rsid w:val="41A66FB6"/>
    <w:rsid w:val="41BF6425"/>
    <w:rsid w:val="42A35A6D"/>
    <w:rsid w:val="42A778A8"/>
    <w:rsid w:val="43AE2CA0"/>
    <w:rsid w:val="4480244F"/>
    <w:rsid w:val="452710FD"/>
    <w:rsid w:val="4D4C25B9"/>
    <w:rsid w:val="4D6B4C8E"/>
    <w:rsid w:val="4E964E2A"/>
    <w:rsid w:val="4EBF244E"/>
    <w:rsid w:val="51253059"/>
    <w:rsid w:val="55D951BF"/>
    <w:rsid w:val="565D65CA"/>
    <w:rsid w:val="5D6048AF"/>
    <w:rsid w:val="5D681176"/>
    <w:rsid w:val="5E07174E"/>
    <w:rsid w:val="5E19540E"/>
    <w:rsid w:val="60766854"/>
    <w:rsid w:val="60E722E8"/>
    <w:rsid w:val="63BC0C8A"/>
    <w:rsid w:val="67727782"/>
    <w:rsid w:val="67D112B2"/>
    <w:rsid w:val="68807C4C"/>
    <w:rsid w:val="68B54368"/>
    <w:rsid w:val="6DC7600C"/>
    <w:rsid w:val="724D3B09"/>
    <w:rsid w:val="72555F98"/>
    <w:rsid w:val="72BC4C04"/>
    <w:rsid w:val="74884433"/>
    <w:rsid w:val="74CE0780"/>
    <w:rsid w:val="771C1C44"/>
    <w:rsid w:val="774C128C"/>
    <w:rsid w:val="79AB6A1E"/>
    <w:rsid w:val="79C811AA"/>
    <w:rsid w:val="7A245F2E"/>
    <w:rsid w:val="7BA042DE"/>
    <w:rsid w:val="7CC74292"/>
    <w:rsid w:val="7D4959AB"/>
    <w:rsid w:val="7DEA2991"/>
    <w:rsid w:val="7EB1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List Paragraph"/>
    <w:basedOn w:val="1"/>
    <w:unhideWhenUsed/>
    <w:qFormat/>
    <w:uiPriority w:val="99"/>
    <w:pPr>
      <w:widowControl w:val="0"/>
      <w:adjustRightInd/>
      <w:snapToGrid/>
      <w:spacing w:after="0"/>
      <w:ind w:firstLine="420" w:firstLineChars="200"/>
      <w:jc w:val="both"/>
    </w:pPr>
    <w:rPr>
      <w:rFonts w:asciiTheme="minorHAnsi" w:hAnsiTheme="minorHAnsi" w:eastAsiaTheme="minorEastAsia"/>
      <w:kern w:val="2"/>
      <w:sz w:val="21"/>
      <w:szCs w:val="24"/>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197</Words>
  <Characters>1127</Characters>
  <Lines>9</Lines>
  <Paragraphs>2</Paragraphs>
  <TotalTime>32</TotalTime>
  <ScaleCrop>false</ScaleCrop>
  <LinksUpToDate>false</LinksUpToDate>
  <CharactersWithSpaces>1322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2020-06-23T13:46:00Z</dcterms:created>
  <dc:creator>Administrator</dc:creator>
  <cp:lastModifiedBy>Administrator</cp:lastModifiedBy>
  <cp:lastPrinted>2021-05-12T09:57:21Z</cp:lastPrinted>
  <dcterms:modified xsi:type="dcterms:W3CDTF">2021-05-12T09:59:21Z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55C5101A8CCE4224B87549F364B17F23</vt:lpwstr>
  </property>
</Properties>
</file>