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黑体"/>
          <w:kern w:val="0"/>
          <w:sz w:val="32"/>
          <w:szCs w:val="32"/>
        </w:rPr>
      </w:pPr>
      <w:r>
        <w:rPr>
          <w:rFonts w:hint="eastAsia" w:eastAsia="黑体"/>
          <w:kern w:val="0"/>
          <w:sz w:val="32"/>
          <w:szCs w:val="32"/>
        </w:rPr>
        <w:t>附件3</w:t>
      </w:r>
    </w:p>
    <w:p>
      <w:pPr>
        <w:spacing w:before="120" w:beforeLines="50"/>
        <w:jc w:val="center"/>
        <w:rPr>
          <w:rFonts w:ascii="宋体"/>
          <w:kern w:val="0"/>
          <w:sz w:val="32"/>
          <w:szCs w:val="32"/>
        </w:rPr>
      </w:pP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lang w:val="en-US" w:eastAsia="zh-CN"/>
        </w:rPr>
        <w:t>2021</w:t>
      </w:r>
      <w:r>
        <w:rPr>
          <w:rFonts w:hint="eastAsia" w:ascii="宋体" w:hAnsi="宋体" w:cs="宋体"/>
          <w:kern w:val="0"/>
          <w:sz w:val="32"/>
          <w:szCs w:val="32"/>
        </w:rPr>
        <w:t>年度）</w:t>
      </w:r>
    </w:p>
    <w:p>
      <w:pPr>
        <w:spacing w:line="360" w:lineRule="auto"/>
        <w:ind w:left="-420" w:leftChars="-200"/>
        <w:rPr>
          <w:rFonts w:hint="eastAsia" w:ascii="仿宋" w:hAnsi="仿宋" w:eastAsia="仿宋" w:cs="仿宋"/>
          <w:kern w:val="0"/>
          <w:sz w:val="24"/>
          <w:szCs w:val="24"/>
        </w:rPr>
      </w:pPr>
      <w:r>
        <w:rPr>
          <w:rFonts w:hint="eastAsia" w:ascii="仿宋" w:hAnsi="仿宋" w:eastAsia="仿宋" w:cs="仿宋"/>
          <w:kern w:val="0"/>
          <w:sz w:val="24"/>
          <w:szCs w:val="24"/>
        </w:rPr>
        <w:t>填报单位（盖章）：</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单位负责人（签名）：</w:t>
      </w:r>
    </w:p>
    <w:tbl>
      <w:tblPr>
        <w:tblStyle w:val="3"/>
        <w:tblpPr w:leftFromText="180" w:rightFromText="180" w:vertAnchor="text" w:horzAnchor="page" w:tblpX="1242" w:tblpY="36"/>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17"/>
        <w:gridCol w:w="1224"/>
        <w:gridCol w:w="2777"/>
        <w:gridCol w:w="207"/>
        <w:gridCol w:w="5"/>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部门名称</w:t>
            </w:r>
          </w:p>
        </w:tc>
        <w:tc>
          <w:tcPr>
            <w:tcW w:w="825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衡东县医疗保障局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b/>
                <w:bCs/>
                <w:kern w:val="0"/>
                <w:sz w:val="24"/>
                <w:szCs w:val="24"/>
              </w:rPr>
            </w:pPr>
            <w:r>
              <w:rPr>
                <w:rFonts w:hint="eastAsia" w:ascii="仿宋" w:hAnsi="仿宋" w:eastAsia="仿宋" w:cs="仿宋"/>
                <w:b/>
                <w:bCs/>
                <w:kern w:val="0"/>
                <w:sz w:val="24"/>
                <w:szCs w:val="24"/>
              </w:rPr>
              <w:t>年度预算申请</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（万元）</w:t>
            </w:r>
          </w:p>
        </w:tc>
        <w:tc>
          <w:tcPr>
            <w:tcW w:w="825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资金总额：  </w:t>
            </w:r>
            <w:r>
              <w:rPr>
                <w:rFonts w:hint="eastAsia" w:ascii="仿宋" w:hAnsi="仿宋" w:eastAsia="仿宋" w:cs="仿宋"/>
                <w:kern w:val="0"/>
                <w:sz w:val="24"/>
                <w:szCs w:val="24"/>
                <w:lang w:val="en-US" w:eastAsia="zh-CN"/>
              </w:rPr>
              <w:t>834.02</w:t>
            </w:r>
            <w:r>
              <w:rPr>
                <w:rFonts w:hint="eastAsia" w:ascii="仿宋" w:hAnsi="仿宋" w:eastAsia="仿宋" w:cs="仿宋"/>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szCs w:val="24"/>
              </w:rPr>
            </w:pPr>
          </w:p>
        </w:tc>
        <w:tc>
          <w:tcPr>
            <w:tcW w:w="52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按收入性质分</w:t>
            </w: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4"/>
                <w:szCs w:val="24"/>
              </w:rPr>
            </w:pPr>
          </w:p>
        </w:tc>
        <w:tc>
          <w:tcPr>
            <w:tcW w:w="52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其中：公共财政拨款：</w:t>
            </w:r>
            <w:r>
              <w:rPr>
                <w:rFonts w:hint="eastAsia" w:ascii="仿宋" w:hAnsi="仿宋" w:eastAsia="仿宋" w:cs="仿宋"/>
                <w:kern w:val="0"/>
                <w:sz w:val="24"/>
                <w:szCs w:val="24"/>
                <w:lang w:val="en-US" w:eastAsia="zh-CN"/>
              </w:rPr>
              <w:t>834.02</w:t>
            </w:r>
          </w:p>
          <w:p>
            <w:pPr>
              <w:widowControl/>
              <w:ind w:firstLine="720" w:firstLineChars="300"/>
              <w:jc w:val="left"/>
              <w:rPr>
                <w:rFonts w:hint="eastAsia" w:ascii="仿宋" w:hAnsi="仿宋" w:eastAsia="仿宋" w:cs="仿宋"/>
                <w:kern w:val="0"/>
                <w:sz w:val="24"/>
                <w:szCs w:val="24"/>
              </w:rPr>
            </w:pP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基本支出：</w:t>
            </w:r>
            <w:r>
              <w:rPr>
                <w:rFonts w:hint="eastAsia" w:ascii="仿宋" w:hAnsi="仿宋" w:eastAsia="仿宋" w:cs="仿宋"/>
                <w:kern w:val="0"/>
                <w:sz w:val="24"/>
                <w:szCs w:val="24"/>
                <w:lang w:val="en-US" w:eastAsia="zh-CN"/>
              </w:rPr>
              <w:t>728.02万元</w:t>
            </w:r>
          </w:p>
          <w:p>
            <w:pPr>
              <w:widowControl/>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项目支出：</w:t>
            </w:r>
            <w:r>
              <w:rPr>
                <w:rFonts w:hint="eastAsia" w:ascii="仿宋" w:hAnsi="仿宋" w:eastAsia="仿宋" w:cs="仿宋"/>
                <w:kern w:val="0"/>
                <w:sz w:val="24"/>
                <w:szCs w:val="24"/>
                <w:lang w:val="en-US" w:eastAsia="zh-CN"/>
              </w:rPr>
              <w:t>106万元</w:t>
            </w:r>
          </w:p>
          <w:p>
            <w:pPr>
              <w:widowControl/>
              <w:jc w:val="left"/>
              <w:rPr>
                <w:rFonts w:hint="eastAsia" w:ascii="仿宋" w:hAnsi="仿宋" w:eastAsia="仿宋" w:cs="仿宋"/>
                <w:kern w:val="0"/>
                <w:sz w:val="24"/>
                <w:szCs w:val="24"/>
              </w:rPr>
            </w:pPr>
          </w:p>
          <w:p>
            <w:pPr>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部门职能职责概述</w:t>
            </w:r>
          </w:p>
        </w:tc>
        <w:tc>
          <w:tcPr>
            <w:tcW w:w="8252" w:type="dxa"/>
            <w:gridSpan w:val="6"/>
            <w:tcBorders>
              <w:top w:val="single" w:color="auto" w:sz="4" w:space="0"/>
              <w:left w:val="single" w:color="auto" w:sz="4" w:space="0"/>
              <w:right w:val="single" w:color="auto" w:sz="4" w:space="0"/>
            </w:tcBorders>
            <w:noWrap w:val="0"/>
            <w:vAlign w:val="center"/>
          </w:tcPr>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1、贯彻执行国家、省、市、县有关医疗保险、生育保险、医疗救助(以下统称医疗保障)的法律法规和政策规定，拟订全县医疗保障相关政策、规划、标准、办法并组织实施。</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2、组织拟订并实施全县医疗保障基金监督管理办法，监督管理医疗保障基金。建立健全医疗保障基金安全防控机制，推进医疗保障基金支付方式改革。</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3、组织拟订并实施全县医疗保障筹资和待遇政策，完善动调整机制，统筹城乡医疗保障待遏标准，建立健全与筹资水平相适应的待遇调整机制。组织拟订并实施长期护理保险制度改革方榮。</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4、负责执行上级医疗保障部门制定的城乡统一的药品、医用耗材、医疗服务项目、医疗服务设施等医保目录和支付标准，配合上級医疗保障部门建立动态调整机制。</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5、负责执行上级医疗保障部门制定的药品、医用耗材价格和医疗服务、医疗服务设施收费政策;组织拟订由县級管理的药品、医用耗材价格和医疗服务项目、医疗服务设施收费政策;建立医保支付医药服务价格合理确定和动调整机劁，承担政府定价药品、医用耗材和医疗机构医疗服务、医疗服务设施的价格谈判、确定及管理工作，并参与药品和医用耗材的集中采购和医疗机构价格类別等級评定工作;推动建立市场主导的社会医药服务价格形成机制，建立价格信息监测和信息发布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6、拟订全县药品、医用耗材的招标采购办法并监督实施，指导药品、医用耗材、医疗服务项目和医疗服务设施招标采购平台建设。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7、组织制定全县定点医药机构协议和支付管理办法并实施，建立健全医疗保障信用评价体系和信息披露制度，建立健全定点医药服务考核评价机制和动态的准入退出机制，监督、管理纳入医保范围内的医疗服务行为和医疗费用，依法查处医疗保障领域违法违规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8、负责县本级医疗保障经办管理、公共服务体系和信息化建设。指导和监督经办机构开展医疗保险、生育保险医疗救助等业务工作;组织拟订和完善异地就医管理和费用结算政策，建立健全医疗保障关系转移接续制度，参与和开展医疗保障领域国内外合作交流。</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9、负责完善统一的城乡居民基本医疗保险制度和大病保险制度，建立健全覆盖全民、城乡统筹的多层次医疗保障体系，不断提高医疗保障水平，确保医保资金合理使用、安全可控，推进医疗、医保、医药“三医联动”改革，更好保人民群众就医需求、减轻医药费用负担。</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10、加强与县卫生健康局等部门在医疗、医保、医药等方面的制度政策衔接，建立沟通协商机制，协同推进改革，提高医疗资源使用效率和医疗保障水平。</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11、负责本行业安全生产工作。</w:t>
            </w:r>
          </w:p>
          <w:p>
            <w:pPr>
              <w:pStyle w:val="2"/>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12、完成县委、县政府和上级主管部门交办的其他任务。</w:t>
            </w:r>
          </w:p>
          <w:p>
            <w:pPr>
              <w:widowControl/>
              <w:numPr>
                <w:ilvl w:val="0"/>
                <w:numId w:val="0"/>
              </w:numPr>
              <w:jc w:val="both"/>
              <w:rPr>
                <w:rFonts w:hint="eastAsia"/>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年度总体目标</w:t>
            </w:r>
          </w:p>
        </w:tc>
        <w:tc>
          <w:tcPr>
            <w:tcW w:w="825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目标1：</w:t>
            </w:r>
            <w:r>
              <w:rPr>
                <w:rFonts w:hint="eastAsia" w:ascii="仿宋" w:hAnsi="仿宋" w:eastAsia="仿宋" w:cs="仿宋"/>
                <w:kern w:val="0"/>
                <w:sz w:val="24"/>
                <w:szCs w:val="24"/>
                <w:lang w:eastAsia="zh-CN"/>
              </w:rPr>
              <w:t>通过预算执行，保证正常工作运转。</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目标2：</w:t>
            </w:r>
            <w:r>
              <w:rPr>
                <w:rFonts w:hint="eastAsia" w:ascii="仿宋" w:hAnsi="仿宋" w:eastAsia="仿宋" w:cs="仿宋"/>
                <w:kern w:val="0"/>
                <w:sz w:val="24"/>
                <w:szCs w:val="24"/>
                <w:lang w:eastAsia="zh-CN"/>
              </w:rPr>
              <w:t>稳步提高保障水平，实现基金收支平衡，进一步规范基金支出。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部门整体支出</w:t>
            </w:r>
          </w:p>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年度绩效指标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2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28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指标值</w:t>
            </w:r>
            <w:r>
              <w:rPr>
                <w:rFonts w:hint="eastAsia" w:ascii="仿宋" w:hAnsi="仿宋" w:eastAsia="仿宋" w:cs="仿宋"/>
                <w:kern w:val="0"/>
                <w:sz w:val="24"/>
                <w:szCs w:val="24"/>
                <w:lang w:eastAsia="zh-CN"/>
              </w:rPr>
              <w:t>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数量指标</w:t>
            </w: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财政供养人员</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部门单位履职、运转</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一站式平台网络服务</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cs="宋体"/>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医保门诊统筹乡镇卫生院个数</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tabs>
                <w:tab w:val="left" w:pos="1932"/>
              </w:tabs>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特殊门诊医疗管理专家评审次数</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宋体" w:hAnsi="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现场稽查次数</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生存认证举报受理次数</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宋体" w:hAnsi="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医保系统网络覆盖定点医药机构个数</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城乡居民医保高血压、糖尿病门诊用药保障乡镇卫生院个数</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质量指标</w:t>
            </w: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在职人员控制率</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公用经费控制</w:t>
            </w:r>
            <w:r>
              <w:rPr>
                <w:rFonts w:hint="eastAsia" w:ascii="仿宋" w:hAnsi="仿宋" w:eastAsia="仿宋" w:cs="仿宋"/>
                <w:kern w:val="0"/>
                <w:sz w:val="24"/>
                <w:szCs w:val="24"/>
                <w:lang w:eastAsia="zh-CN"/>
              </w:rPr>
              <w:t>率</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一站式平台网络正常率</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医保门诊统筹乡镇卫生院覆盖率</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kern w:val="0"/>
                <w:sz w:val="24"/>
                <w:szCs w:val="24"/>
                <w:lang w:val="en-US" w:eastAsia="zh-CN"/>
              </w:rPr>
            </w:pPr>
            <w:r>
              <w:rPr>
                <w:rFonts w:hint="eastAsia" w:ascii="宋体" w:hAnsi="宋体" w:cs="宋体"/>
                <w:kern w:val="0"/>
                <w:sz w:val="24"/>
                <w:szCs w:val="24"/>
                <w:lang w:val="en-US" w:eastAsia="zh-CN"/>
              </w:rPr>
              <w:t>10</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tabs>
                <w:tab w:val="left" w:pos="657"/>
              </w:tabs>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特殊门诊应保尽保率</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宋体" w:hAnsi="宋体" w:cs="宋体"/>
                <w:kern w:val="0"/>
                <w:sz w:val="24"/>
                <w:szCs w:val="24"/>
                <w:lang w:val="en-US" w:eastAsia="zh-CN"/>
              </w:rPr>
              <w:t>10</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现场稽查覆盖率</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bidi="ar-SA"/>
              </w:rPr>
            </w:pPr>
            <w:r>
              <w:rPr>
                <w:rFonts w:hint="eastAsia" w:ascii="宋体" w:hAnsi="宋体" w:cs="宋体"/>
                <w:kern w:val="0"/>
                <w:sz w:val="24"/>
                <w:szCs w:val="24"/>
                <w:lang w:val="en-US" w:eastAsia="zh-CN"/>
              </w:rPr>
              <w:t>10</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生存认证投诉处理办结率</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bidi="ar-SA"/>
              </w:rPr>
            </w:pPr>
            <w:r>
              <w:rPr>
                <w:rFonts w:hint="eastAsia" w:ascii="宋体" w:hAnsi="宋体" w:cs="宋体"/>
                <w:kern w:val="0"/>
                <w:sz w:val="24"/>
                <w:szCs w:val="24"/>
                <w:lang w:val="en-US" w:eastAsia="zh-CN"/>
              </w:rPr>
              <w:t>10</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医保系统网络维护正常率</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bidi="ar-SA"/>
              </w:rPr>
            </w:pPr>
            <w:r>
              <w:rPr>
                <w:rFonts w:hint="eastAsia" w:ascii="宋体" w:hAnsi="宋体" w:cs="宋体"/>
                <w:kern w:val="0"/>
                <w:sz w:val="24"/>
                <w:szCs w:val="24"/>
                <w:lang w:val="en-US" w:eastAsia="zh-CN"/>
              </w:rPr>
              <w:t>10</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城乡居民医保高血压、糖尿病门诊用药保障覆盖率</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val="en-US" w:eastAsia="zh-CN" w:bidi="ar-SA"/>
              </w:rPr>
            </w:pPr>
            <w:r>
              <w:rPr>
                <w:rFonts w:hint="eastAsia" w:ascii="宋体" w:hAnsi="宋体" w:cs="宋体"/>
                <w:kern w:val="0"/>
                <w:sz w:val="24"/>
                <w:szCs w:val="24"/>
                <w:lang w:val="en-US" w:eastAsia="zh-CN"/>
              </w:rPr>
              <w:t>10</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时效指标</w:t>
            </w:r>
          </w:p>
        </w:tc>
        <w:tc>
          <w:tcPr>
            <w:tcW w:w="2984"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年度内及时完成政府及上级领导交办的各项任务</w:t>
            </w:r>
          </w:p>
        </w:tc>
        <w:tc>
          <w:tcPr>
            <w:tcW w:w="282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成本指标</w:t>
            </w:r>
          </w:p>
        </w:tc>
        <w:tc>
          <w:tcPr>
            <w:tcW w:w="2984"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财政供养人员</w:t>
            </w:r>
          </w:p>
        </w:tc>
        <w:tc>
          <w:tcPr>
            <w:tcW w:w="2827"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677.56万元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部门单位履职、运转</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50.46万元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一站式平台网络服务费用</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医保门诊统筹乡镇卫生院费用</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特殊门诊医疗管理专家评审费用</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专项稽查费用</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生存认证举报专项奖励费用</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医保系统网络维护费用</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城乡居民医保高血压、糖尿病门诊用药保障费用</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22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社会效益指标</w:t>
            </w:r>
          </w:p>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全民参保率</w:t>
            </w:r>
          </w:p>
        </w:tc>
        <w:tc>
          <w:tcPr>
            <w:tcW w:w="282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建档立卡贫困参保率</w:t>
            </w:r>
          </w:p>
        </w:tc>
        <w:tc>
          <w:tcPr>
            <w:tcW w:w="2827"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b/>
                <w:bCs/>
                <w:kern w:val="0"/>
                <w:sz w:val="24"/>
                <w:szCs w:val="24"/>
              </w:rPr>
            </w:pPr>
          </w:p>
        </w:tc>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p>
        </w:tc>
        <w:tc>
          <w:tcPr>
            <w:tcW w:w="122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eastAsia" w:ascii="仿宋" w:hAnsi="仿宋" w:eastAsia="仿宋" w:cs="仿宋"/>
                <w:kern w:val="0"/>
                <w:sz w:val="24"/>
                <w:szCs w:val="24"/>
              </w:rPr>
            </w:pPr>
          </w:p>
        </w:tc>
        <w:tc>
          <w:tcPr>
            <w:tcW w:w="2984"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处理欺诈骗保线索率</w:t>
            </w:r>
          </w:p>
        </w:tc>
        <w:tc>
          <w:tcPr>
            <w:tcW w:w="2827"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仿宋" w:hAnsi="仿宋" w:eastAsia="仿宋" w:cs="仿宋"/>
                <w:b/>
                <w:bCs/>
                <w:kern w:val="0"/>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ind w:right="12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服务对象</w:t>
            </w:r>
            <w:r>
              <w:rPr>
                <w:rFonts w:hint="eastAsia" w:ascii="仿宋" w:hAnsi="仿宋" w:eastAsia="仿宋" w:cs="仿宋"/>
                <w:kern w:val="0"/>
                <w:sz w:val="24"/>
                <w:szCs w:val="24"/>
              </w:rPr>
              <w:t>满意度指标</w:t>
            </w:r>
          </w:p>
        </w:tc>
        <w:tc>
          <w:tcPr>
            <w:tcW w:w="29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120" w:lineRule="auto"/>
              <w:jc w:val="both"/>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服务及监管对象满意度</w:t>
            </w:r>
          </w:p>
        </w:tc>
        <w:tc>
          <w:tcPr>
            <w:tcW w:w="28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kern w:val="0"/>
                <w:sz w:val="24"/>
                <w:szCs w:val="24"/>
                <w:lang w:val="en-US" w:eastAsia="zh-CN" w:bidi="ar-SA"/>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90%</w:t>
            </w:r>
          </w:p>
        </w:tc>
      </w:tr>
    </w:tbl>
    <w:p>
      <w:pPr>
        <w:keepNext w:val="0"/>
        <w:keepLines w:val="0"/>
        <w:pageBreakBefore w:val="0"/>
        <w:tabs>
          <w:tab w:val="left" w:pos="1875"/>
        </w:tabs>
        <w:kinsoku/>
        <w:wordWrap/>
        <w:overflowPunct/>
        <w:topLinePunct w:val="0"/>
        <w:autoSpaceDE/>
        <w:autoSpaceDN/>
        <w:bidi w:val="0"/>
        <w:adjustRightInd/>
        <w:snapToGrid/>
        <w:spacing w:line="120" w:lineRule="auto"/>
        <w:jc w:val="left"/>
        <w:textAlignment w:val="auto"/>
        <w:rPr>
          <w:rFonts w:hint="eastAsia" w:ascii="仿宋" w:hAnsi="仿宋" w:eastAsia="仿宋" w:cs="仿宋"/>
          <w:kern w:val="0"/>
          <w:sz w:val="24"/>
          <w:szCs w:val="24"/>
        </w:rPr>
      </w:pPr>
    </w:p>
    <w:p>
      <w:pPr>
        <w:keepNext w:val="0"/>
        <w:keepLines w:val="0"/>
        <w:pageBreakBefore w:val="0"/>
        <w:tabs>
          <w:tab w:val="left" w:pos="1875"/>
        </w:tabs>
        <w:kinsoku/>
        <w:wordWrap/>
        <w:overflowPunct/>
        <w:topLinePunct w:val="0"/>
        <w:autoSpaceDE/>
        <w:autoSpaceDN/>
        <w:bidi w:val="0"/>
        <w:adjustRightInd/>
        <w:snapToGrid/>
        <w:spacing w:line="120" w:lineRule="auto"/>
        <w:jc w:val="left"/>
        <w:textAlignment w:val="auto"/>
        <w:rPr>
          <w:rFonts w:hint="eastAsia" w:eastAsia="黑体"/>
          <w:kern w:val="0"/>
          <w:sz w:val="32"/>
          <w:szCs w:val="32"/>
        </w:rPr>
      </w:pPr>
      <w:bookmarkStart w:id="0" w:name="_GoBack"/>
      <w:bookmarkEnd w:id="0"/>
      <w:r>
        <w:rPr>
          <w:rFonts w:hint="eastAsia" w:ascii="仿宋" w:hAnsi="仿宋" w:eastAsia="仿宋" w:cs="仿宋"/>
          <w:kern w:val="0"/>
          <w:sz w:val="24"/>
          <w:szCs w:val="24"/>
        </w:rPr>
        <w:t>填表人（签名）：</w:t>
      </w:r>
      <w:r>
        <w:rPr>
          <w:rFonts w:hint="eastAsia" w:ascii="仿宋" w:hAnsi="仿宋" w:eastAsia="仿宋" w:cs="仿宋"/>
          <w:kern w:val="0"/>
          <w:sz w:val="24"/>
          <w:szCs w:val="24"/>
          <w:lang w:eastAsia="zh-CN"/>
        </w:rPr>
        <w:t>单雅芳</w:t>
      </w:r>
      <w:r>
        <w:rPr>
          <w:rFonts w:hint="eastAsia" w:ascii="仿宋" w:hAnsi="仿宋" w:eastAsia="仿宋" w:cs="仿宋"/>
          <w:kern w:val="0"/>
          <w:sz w:val="24"/>
          <w:szCs w:val="24"/>
        </w:rPr>
        <w:t xml:space="preserve"> 联系电话：</w:t>
      </w:r>
      <w:r>
        <w:rPr>
          <w:rFonts w:hint="eastAsia" w:ascii="仿宋" w:hAnsi="仿宋" w:eastAsia="仿宋" w:cs="仿宋"/>
          <w:kern w:val="0"/>
          <w:sz w:val="24"/>
          <w:szCs w:val="24"/>
          <w:lang w:val="en-US" w:eastAsia="zh-CN"/>
        </w:rPr>
        <w:t>5186086</w:t>
      </w:r>
      <w:r>
        <w:rPr>
          <w:rFonts w:hint="eastAsia" w:ascii="仿宋" w:hAnsi="仿宋" w:eastAsia="仿宋" w:cs="仿宋"/>
          <w:kern w:val="0"/>
          <w:sz w:val="24"/>
          <w:szCs w:val="24"/>
        </w:rPr>
        <w:t xml:space="preserve">  填表日期：</w:t>
      </w:r>
      <w:r>
        <w:rPr>
          <w:rFonts w:hint="eastAsia" w:ascii="仿宋" w:hAnsi="仿宋" w:eastAsia="仿宋" w:cs="仿宋"/>
          <w:kern w:val="0"/>
          <w:sz w:val="24"/>
          <w:szCs w:val="24"/>
          <w:lang w:val="en-US" w:eastAsia="zh-CN"/>
        </w:rPr>
        <w:t>2021.5.10</w:t>
      </w:r>
      <w:r>
        <w:rPr>
          <w:rFonts w:hint="eastAsia" w:ascii="仿宋" w:hAnsi="仿宋" w:eastAsia="仿宋" w:cs="仿宋"/>
          <w:kern w:val="0"/>
          <w:sz w:val="24"/>
          <w:szCs w:val="24"/>
        </w:rPr>
        <w:t xml:space="preserve">  </w:t>
      </w:r>
    </w:p>
    <w:p>
      <w:pPr>
        <w:keepNext w:val="0"/>
        <w:keepLines w:val="0"/>
        <w:pageBreakBefore w:val="0"/>
        <w:widowControl/>
        <w:tabs>
          <w:tab w:val="left" w:pos="2203"/>
          <w:tab w:val="left" w:pos="4145"/>
          <w:tab w:val="left" w:pos="5718"/>
          <w:tab w:val="left" w:pos="6938"/>
          <w:tab w:val="left" w:pos="8139"/>
        </w:tabs>
        <w:kinsoku/>
        <w:wordWrap/>
        <w:overflowPunct/>
        <w:topLinePunct w:val="0"/>
        <w:autoSpaceDE/>
        <w:autoSpaceDN/>
        <w:bidi w:val="0"/>
        <w:adjustRightInd/>
        <w:snapToGrid/>
        <w:spacing w:line="120" w:lineRule="auto"/>
        <w:ind w:left="93"/>
        <w:jc w:val="left"/>
        <w:textAlignment w:val="auto"/>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39B7"/>
    <w:rsid w:val="00B85FCC"/>
    <w:rsid w:val="01351E5E"/>
    <w:rsid w:val="02E17DA7"/>
    <w:rsid w:val="04EE56AB"/>
    <w:rsid w:val="05E830C9"/>
    <w:rsid w:val="070A61BC"/>
    <w:rsid w:val="0C6B3309"/>
    <w:rsid w:val="0CB360A3"/>
    <w:rsid w:val="140768FC"/>
    <w:rsid w:val="15AE5828"/>
    <w:rsid w:val="1C465128"/>
    <w:rsid w:val="1CCD735B"/>
    <w:rsid w:val="1D3B5305"/>
    <w:rsid w:val="1DB32DF0"/>
    <w:rsid w:val="205F7D07"/>
    <w:rsid w:val="28C23C78"/>
    <w:rsid w:val="29987C54"/>
    <w:rsid w:val="29F738A4"/>
    <w:rsid w:val="2C152BD9"/>
    <w:rsid w:val="2EEA03CC"/>
    <w:rsid w:val="30C5615B"/>
    <w:rsid w:val="323D1D72"/>
    <w:rsid w:val="37730A8D"/>
    <w:rsid w:val="3A9C4DCA"/>
    <w:rsid w:val="3BC33F6D"/>
    <w:rsid w:val="3D1776CD"/>
    <w:rsid w:val="42EE76DA"/>
    <w:rsid w:val="432B6E90"/>
    <w:rsid w:val="441B11AC"/>
    <w:rsid w:val="44BE5080"/>
    <w:rsid w:val="477E589A"/>
    <w:rsid w:val="47D739B7"/>
    <w:rsid w:val="4BF82E31"/>
    <w:rsid w:val="4D5D79B0"/>
    <w:rsid w:val="4DB231BD"/>
    <w:rsid w:val="5326186E"/>
    <w:rsid w:val="551B2976"/>
    <w:rsid w:val="580866A8"/>
    <w:rsid w:val="59495CAC"/>
    <w:rsid w:val="5E4F1E7D"/>
    <w:rsid w:val="5E7D7412"/>
    <w:rsid w:val="5F0D2891"/>
    <w:rsid w:val="602254DF"/>
    <w:rsid w:val="67D05A6A"/>
    <w:rsid w:val="67D106B1"/>
    <w:rsid w:val="6A427925"/>
    <w:rsid w:val="72675BC1"/>
    <w:rsid w:val="74B7552A"/>
    <w:rsid w:val="74F456D4"/>
    <w:rsid w:val="77A83F6A"/>
    <w:rsid w:val="7E380BD4"/>
    <w:rsid w:val="7EAC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x</cp:lastModifiedBy>
  <dcterms:modified xsi:type="dcterms:W3CDTF">2021-05-19T07:57:10Z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49C7F2A7E6E4439C91AC6040488168D7</vt:lpwstr>
  </property>
</Properties>
</file>