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计划生育事业费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坚持以人为本，本着有利于实现统筹解决人口问题，稳定生育水平，提高出生人口素质，综合治理性别偏高问题，加强对流动人口的管理，促进人的全面协调发展。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统筹解决人口问题，提高出生人口素质，综合治理性别偏高问题，加强对流动人口的管理，促进人的全面协调发展。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对全县医疗机构、计划生育服务机构、个体诊所的B超使用情况、引流产手术施行及引、流产药品管理情况进行专项检查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2次/年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对全县医疗机构、计划生育服务机构、个体诊所的B超使用情况、引流产手术施行及引、流产药品管理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检查覆盖率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计划生育事业费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政策知晓率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历史标准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陈美平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15073410036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2ED2D98"/>
    <w:rsid w:val="1D921672"/>
    <w:rsid w:val="22F040AB"/>
    <w:rsid w:val="2A0C3D58"/>
    <w:rsid w:val="2BD60ECC"/>
    <w:rsid w:val="2D1811A3"/>
    <w:rsid w:val="360B5A1E"/>
    <w:rsid w:val="37BE741A"/>
    <w:rsid w:val="3EFB7135"/>
    <w:rsid w:val="472F1884"/>
    <w:rsid w:val="51185B4B"/>
    <w:rsid w:val="511B458B"/>
    <w:rsid w:val="57782676"/>
    <w:rsid w:val="58961B8D"/>
    <w:rsid w:val="73850235"/>
    <w:rsid w:val="7BD8624C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2021-05-21T01:43:45Z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01C7FF5F8AB4420D895458BF9A86D387</vt:lpwstr>
  </property>
</Properties>
</file>