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default" w:ascii="等线" w:hAnsi="等线" w:eastAsia="等线" w:cs="等线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2019年衡东县超限超载达三次以上货运车辆情况表（26台）</w:t>
      </w:r>
    </w:p>
    <w:tbl>
      <w:tblPr>
        <w:tblStyle w:val="2"/>
        <w:tblpPr w:leftFromText="180" w:rightFromText="180" w:vertAnchor="page" w:horzAnchor="page" w:tblpX="1827" w:tblpY="2733"/>
        <w:tblOverlap w:val="never"/>
        <w:tblW w:w="129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2175"/>
        <w:gridCol w:w="1305"/>
        <w:gridCol w:w="1665"/>
        <w:gridCol w:w="1395"/>
        <w:gridCol w:w="1560"/>
        <w:gridCol w:w="1080"/>
        <w:gridCol w:w="24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机动车所有人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超限超载交通违法次数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道路运输证号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机动车所有人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超限超载交通违法次数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湘D34056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衡阳泰源物流有限公司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430424200277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湘DB9710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谭湘黔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湘D35318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刘水华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430424200342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湘DC7179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颜幸平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湘DB8785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430424200944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湘DB6231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430424201238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湘DB5812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罗传庚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湘DB7180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430424201257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湘DB5669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湘DC1086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湘DA8977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阳日辉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430424201094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湘DC6785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阳贵平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湘DB5235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430424201108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湘D97225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康友良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430424201295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湘DB7963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胡树平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430424201114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湘DB2862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汪建平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湘DB5782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胡凤珍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430424201144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湘DC0976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湘DB7037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向银琴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430424201152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湘DC5555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湘DC1881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430424201170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湘DC6851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湘DC2816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吴柏林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430424201209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湘DB2796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贺永忠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430424201361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湘DC1778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颜丫平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430424201221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湘DB3870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董海春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430424201369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360B2"/>
    <w:rsid w:val="373C0234"/>
    <w:rsid w:val="3D73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2020-05-05T02:49:00Z</dcterms:created>
  <dc:creator>情绪的疯子</dc:creator>
  <cp:lastModifiedBy>情绪的疯子</cp:lastModifiedBy>
  <dcterms:modified xsi:type="dcterms:W3CDTF">2020-05-05T02:58:35Z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