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r>
        <w:rPr>
          <w:rFonts w:hint="eastAsia" w:ascii="Arial" w:hAnsi="Arial" w:eastAsia="黑体" w:cs="Arial"/>
          <w:sz w:val="36"/>
          <w:szCs w:val="36"/>
        </w:rPr>
        <w:t>2022</w:t>
      </w:r>
      <w:r>
        <w:rPr>
          <w:rFonts w:hint="eastAsia" w:ascii="黑体" w:hAnsi="黑体" w:eastAsia="黑体" w:cs="黑体"/>
          <w:sz w:val="36"/>
          <w:szCs w:val="36"/>
        </w:rPr>
        <w:t>年部门整体</w:t>
      </w:r>
      <w:r>
        <w:rPr>
          <w:rFonts w:hint="eastAsia" w:ascii="黑体" w:hAnsi="黑体" w:eastAsia="黑体"/>
          <w:sz w:val="36"/>
          <w:szCs w:val="36"/>
        </w:rPr>
        <w:t>支出绩效目标表</w:t>
      </w:r>
    </w:p>
    <w:p>
      <w:pPr>
        <w:jc w:val="center"/>
        <w:rPr>
          <w:rFonts w:hint="eastAsia" w:ascii="黑体" w:hAnsi="黑体" w:eastAsia="黑体"/>
          <w:sz w:val="36"/>
          <w:szCs w:val="36"/>
        </w:rPr>
      </w:pPr>
    </w:p>
    <w:p>
      <w:pPr>
        <w:jc w:val="left"/>
        <w:rPr>
          <w:rFonts w:hint="eastAsia" w:ascii="仿宋" w:hAnsi="仿宋" w:eastAsia="仿宋" w:cs="仿宋"/>
          <w:b/>
          <w:sz w:val="28"/>
          <w:szCs w:val="28"/>
          <w:lang w:eastAsia="zh-CN"/>
        </w:rPr>
      </w:pPr>
      <w:r>
        <w:rPr>
          <w:rFonts w:hint="eastAsia" w:ascii="仿宋" w:hAnsi="仿宋" w:eastAsia="仿宋" w:cs="仿宋"/>
          <w:b/>
          <w:sz w:val="28"/>
          <w:szCs w:val="28"/>
        </w:rPr>
        <w:t>填报单位：（盖章）衡东县</w:t>
      </w:r>
      <w:r>
        <w:rPr>
          <w:rFonts w:hint="eastAsia" w:ascii="仿宋" w:hAnsi="仿宋" w:eastAsia="仿宋" w:cs="仿宋"/>
          <w:b/>
          <w:sz w:val="28"/>
          <w:szCs w:val="28"/>
          <w:lang w:eastAsia="zh-CN"/>
        </w:rPr>
        <w:t>妇女联合会</w:t>
      </w:r>
    </w:p>
    <w:tbl>
      <w:tblPr>
        <w:tblStyle w:val="5"/>
        <w:tblW w:w="9836"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0"/>
        <w:gridCol w:w="1395"/>
        <w:gridCol w:w="1627"/>
        <w:gridCol w:w="823"/>
        <w:gridCol w:w="1519"/>
        <w:gridCol w:w="172"/>
        <w:gridCol w:w="27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4" w:hRule="atLeast"/>
        </w:trPr>
        <w:tc>
          <w:tcPr>
            <w:tcW w:w="1540" w:type="dxa"/>
            <w:vAlign w:val="center"/>
          </w:tcPr>
          <w:p>
            <w:pPr>
              <w:jc w:val="center"/>
              <w:rPr>
                <w:sz w:val="21"/>
                <w:szCs w:val="21"/>
              </w:rPr>
            </w:pPr>
            <w:r>
              <w:rPr>
                <w:rFonts w:hint="eastAsia"/>
                <w:sz w:val="21"/>
                <w:szCs w:val="21"/>
              </w:rPr>
              <w:t>部门名称</w:t>
            </w:r>
          </w:p>
        </w:tc>
        <w:tc>
          <w:tcPr>
            <w:tcW w:w="8296" w:type="dxa"/>
            <w:gridSpan w:val="6"/>
            <w:tcBorders>
              <w:bottom w:val="single" w:color="auto" w:sz="4" w:space="0"/>
            </w:tcBorders>
            <w:vAlign w:val="center"/>
          </w:tcPr>
          <w:p>
            <w:pPr>
              <w:jc w:val="center"/>
              <w:rPr>
                <w:rFonts w:hint="eastAsia" w:eastAsiaTheme="minorEastAsia"/>
                <w:sz w:val="21"/>
                <w:szCs w:val="21"/>
                <w:lang w:eastAsia="zh-CN"/>
              </w:rPr>
            </w:pPr>
            <w:r>
              <w:rPr>
                <w:sz w:val="21"/>
                <w:szCs w:val="21"/>
              </w:rPr>
              <w:t>衡东县</w:t>
            </w:r>
            <w:r>
              <w:rPr>
                <w:rFonts w:hint="eastAsia"/>
                <w:sz w:val="21"/>
                <w:szCs w:val="21"/>
                <w:lang w:eastAsia="zh-CN"/>
              </w:rPr>
              <w:t>妇女联合会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restart"/>
            <w:vAlign w:val="center"/>
          </w:tcPr>
          <w:p>
            <w:pPr>
              <w:jc w:val="center"/>
              <w:rPr>
                <w:sz w:val="21"/>
                <w:szCs w:val="21"/>
              </w:rPr>
            </w:pPr>
            <w:r>
              <w:rPr>
                <w:rFonts w:hint="eastAsia"/>
                <w:sz w:val="21"/>
                <w:szCs w:val="21"/>
              </w:rPr>
              <w:t>年度预算申请（万元）</w:t>
            </w:r>
          </w:p>
        </w:tc>
        <w:tc>
          <w:tcPr>
            <w:tcW w:w="8296" w:type="dxa"/>
            <w:gridSpan w:val="6"/>
            <w:tcBorders>
              <w:top w:val="single" w:color="auto" w:sz="4" w:space="0"/>
            </w:tcBorders>
            <w:vAlign w:val="center"/>
          </w:tcPr>
          <w:p>
            <w:pPr>
              <w:jc w:val="left"/>
              <w:rPr>
                <w:rFonts w:hint="default" w:eastAsiaTheme="minorEastAsia"/>
                <w:sz w:val="21"/>
                <w:szCs w:val="21"/>
                <w:lang w:val="en-US" w:eastAsia="zh-CN"/>
              </w:rPr>
            </w:pPr>
            <w:r>
              <w:rPr>
                <w:rFonts w:hint="eastAsia"/>
                <w:sz w:val="21"/>
                <w:szCs w:val="21"/>
              </w:rPr>
              <w:t>资金总额：</w:t>
            </w:r>
            <w:r>
              <w:rPr>
                <w:rFonts w:hint="eastAsia"/>
                <w:sz w:val="21"/>
                <w:szCs w:val="21"/>
                <w:lang w:val="en-US" w:eastAsia="zh-CN"/>
              </w:rPr>
              <w:t>128.44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continue"/>
            <w:vAlign w:val="center"/>
          </w:tcPr>
          <w:p>
            <w:pPr>
              <w:jc w:val="center"/>
              <w:rPr>
                <w:sz w:val="21"/>
                <w:szCs w:val="21"/>
              </w:rPr>
            </w:pPr>
          </w:p>
        </w:tc>
        <w:tc>
          <w:tcPr>
            <w:tcW w:w="3845" w:type="dxa"/>
            <w:gridSpan w:val="3"/>
            <w:tcBorders>
              <w:right w:val="single" w:color="auto" w:sz="4" w:space="0"/>
            </w:tcBorders>
            <w:vAlign w:val="center"/>
          </w:tcPr>
          <w:p>
            <w:pPr>
              <w:jc w:val="left"/>
              <w:rPr>
                <w:sz w:val="21"/>
                <w:szCs w:val="21"/>
              </w:rPr>
            </w:pPr>
            <w:r>
              <w:rPr>
                <w:rFonts w:hint="eastAsia"/>
                <w:sz w:val="21"/>
                <w:szCs w:val="21"/>
              </w:rPr>
              <w:t>按收入性质分</w:t>
            </w:r>
            <w:r>
              <w:rPr>
                <w:rFonts w:hint="eastAsia"/>
                <w:sz w:val="21"/>
                <w:szCs w:val="21"/>
                <w:lang w:val="en-US" w:eastAsia="zh-CN"/>
              </w:rPr>
              <w:t>128.44</w:t>
            </w:r>
          </w:p>
        </w:tc>
        <w:tc>
          <w:tcPr>
            <w:tcW w:w="4451" w:type="dxa"/>
            <w:gridSpan w:val="3"/>
            <w:tcBorders>
              <w:left w:val="single" w:color="auto" w:sz="4" w:space="0"/>
            </w:tcBorders>
            <w:vAlign w:val="center"/>
          </w:tcPr>
          <w:p>
            <w:pPr>
              <w:tabs>
                <w:tab w:val="left" w:pos="825"/>
              </w:tabs>
              <w:rPr>
                <w:sz w:val="21"/>
                <w:szCs w:val="21"/>
              </w:rPr>
            </w:pPr>
            <w:r>
              <w:rPr>
                <w:rFonts w:hint="eastAsia"/>
                <w:sz w:val="21"/>
                <w:szCs w:val="21"/>
              </w:rPr>
              <w:t>按支出性质分：</w:t>
            </w:r>
            <w:r>
              <w:rPr>
                <w:rFonts w:hint="eastAsia"/>
                <w:sz w:val="21"/>
                <w:szCs w:val="21"/>
                <w:lang w:val="en-US" w:eastAsia="zh-CN"/>
              </w:rPr>
              <w:t>128.44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continue"/>
            <w:vAlign w:val="center"/>
          </w:tcPr>
          <w:p>
            <w:pPr>
              <w:jc w:val="center"/>
              <w:rPr>
                <w:sz w:val="21"/>
                <w:szCs w:val="21"/>
              </w:rPr>
            </w:pPr>
          </w:p>
        </w:tc>
        <w:tc>
          <w:tcPr>
            <w:tcW w:w="3845" w:type="dxa"/>
            <w:gridSpan w:val="3"/>
            <w:vAlign w:val="center"/>
          </w:tcPr>
          <w:p>
            <w:pPr>
              <w:rPr>
                <w:sz w:val="21"/>
                <w:szCs w:val="21"/>
              </w:rPr>
            </w:pPr>
            <w:r>
              <w:rPr>
                <w:rFonts w:hint="eastAsia"/>
                <w:sz w:val="21"/>
                <w:szCs w:val="21"/>
              </w:rPr>
              <w:t>其中：一般公共预算：</w:t>
            </w:r>
            <w:r>
              <w:rPr>
                <w:rFonts w:hint="eastAsia"/>
                <w:sz w:val="21"/>
                <w:szCs w:val="21"/>
                <w:lang w:val="en-US" w:eastAsia="zh-CN"/>
              </w:rPr>
              <w:t>128.44</w:t>
            </w:r>
          </w:p>
        </w:tc>
        <w:tc>
          <w:tcPr>
            <w:tcW w:w="4451" w:type="dxa"/>
            <w:gridSpan w:val="3"/>
            <w:vAlign w:val="center"/>
          </w:tcPr>
          <w:p>
            <w:pPr>
              <w:rPr>
                <w:rFonts w:hint="default" w:eastAsiaTheme="minorEastAsia"/>
                <w:sz w:val="21"/>
                <w:szCs w:val="21"/>
                <w:lang w:val="en-US" w:eastAsia="zh-CN"/>
              </w:rPr>
            </w:pPr>
            <w:r>
              <w:rPr>
                <w:rFonts w:hint="eastAsia"/>
                <w:sz w:val="21"/>
                <w:szCs w:val="21"/>
              </w:rPr>
              <w:t>其中：基本支出：</w:t>
            </w:r>
            <w:r>
              <w:rPr>
                <w:rFonts w:hint="eastAsia"/>
                <w:sz w:val="21"/>
                <w:szCs w:val="21"/>
                <w:lang w:val="en-US" w:eastAsia="zh-CN"/>
              </w:rPr>
              <w:t>68.44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continue"/>
            <w:vAlign w:val="center"/>
          </w:tcPr>
          <w:p>
            <w:pPr>
              <w:jc w:val="center"/>
              <w:rPr>
                <w:sz w:val="21"/>
                <w:szCs w:val="21"/>
              </w:rPr>
            </w:pPr>
          </w:p>
        </w:tc>
        <w:tc>
          <w:tcPr>
            <w:tcW w:w="3845" w:type="dxa"/>
            <w:gridSpan w:val="3"/>
            <w:vAlign w:val="center"/>
          </w:tcPr>
          <w:p>
            <w:pPr>
              <w:ind w:firstLine="630" w:firstLineChars="300"/>
              <w:rPr>
                <w:sz w:val="21"/>
                <w:szCs w:val="21"/>
              </w:rPr>
            </w:pPr>
            <w:r>
              <w:rPr>
                <w:rFonts w:hint="eastAsia"/>
                <w:sz w:val="21"/>
                <w:szCs w:val="21"/>
              </w:rPr>
              <w:t>政府性基金拨款：</w:t>
            </w:r>
          </w:p>
        </w:tc>
        <w:tc>
          <w:tcPr>
            <w:tcW w:w="4451" w:type="dxa"/>
            <w:gridSpan w:val="3"/>
            <w:vAlign w:val="center"/>
          </w:tcPr>
          <w:p>
            <w:pPr>
              <w:ind w:firstLine="630" w:firstLineChars="300"/>
              <w:rPr>
                <w:rFonts w:hint="default" w:eastAsiaTheme="minorEastAsia"/>
                <w:sz w:val="21"/>
                <w:szCs w:val="21"/>
                <w:lang w:val="en-US" w:eastAsia="zh-CN"/>
              </w:rPr>
            </w:pPr>
            <w:r>
              <w:rPr>
                <w:rFonts w:hint="eastAsia"/>
                <w:sz w:val="21"/>
                <w:szCs w:val="21"/>
              </w:rPr>
              <w:t>项目支出：</w:t>
            </w:r>
            <w:r>
              <w:rPr>
                <w:rFonts w:hint="eastAsia"/>
                <w:sz w:val="21"/>
                <w:szCs w:val="21"/>
                <w:lang w:val="en-US" w:eastAsia="zh-CN"/>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continue"/>
            <w:vAlign w:val="center"/>
          </w:tcPr>
          <w:p>
            <w:pPr>
              <w:jc w:val="center"/>
              <w:rPr>
                <w:sz w:val="21"/>
                <w:szCs w:val="21"/>
              </w:rPr>
            </w:pPr>
          </w:p>
        </w:tc>
        <w:tc>
          <w:tcPr>
            <w:tcW w:w="3845" w:type="dxa"/>
            <w:gridSpan w:val="3"/>
            <w:vAlign w:val="center"/>
          </w:tcPr>
          <w:p>
            <w:pPr>
              <w:rPr>
                <w:sz w:val="21"/>
                <w:szCs w:val="21"/>
              </w:rPr>
            </w:pPr>
            <w:r>
              <w:rPr>
                <w:rFonts w:hint="eastAsia"/>
                <w:sz w:val="21"/>
                <w:szCs w:val="21"/>
              </w:rPr>
              <w:t>纳入专户管理的非税收入拨款：</w:t>
            </w:r>
          </w:p>
        </w:tc>
        <w:tc>
          <w:tcPr>
            <w:tcW w:w="4451" w:type="dxa"/>
            <w:gridSpan w:val="3"/>
            <w:vAlign w:val="center"/>
          </w:tcPr>
          <w:p>
            <w:pPr>
              <w:jc w:val="center"/>
              <w:rPr>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continue"/>
            <w:vAlign w:val="center"/>
          </w:tcPr>
          <w:p>
            <w:pPr>
              <w:jc w:val="center"/>
              <w:rPr>
                <w:sz w:val="21"/>
                <w:szCs w:val="21"/>
              </w:rPr>
            </w:pPr>
          </w:p>
        </w:tc>
        <w:tc>
          <w:tcPr>
            <w:tcW w:w="3845" w:type="dxa"/>
            <w:gridSpan w:val="3"/>
            <w:vAlign w:val="center"/>
          </w:tcPr>
          <w:p>
            <w:pPr>
              <w:jc w:val="center"/>
              <w:rPr>
                <w:sz w:val="21"/>
                <w:szCs w:val="21"/>
              </w:rPr>
            </w:pPr>
            <w:r>
              <w:rPr>
                <w:rFonts w:hint="eastAsia"/>
                <w:sz w:val="21"/>
                <w:szCs w:val="21"/>
              </w:rPr>
              <w:t>其他资金</w:t>
            </w:r>
          </w:p>
        </w:tc>
        <w:tc>
          <w:tcPr>
            <w:tcW w:w="4451" w:type="dxa"/>
            <w:gridSpan w:val="3"/>
            <w:vAlign w:val="center"/>
          </w:tcPr>
          <w:p>
            <w:pPr>
              <w:jc w:val="center"/>
              <w:rPr>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36" w:hRule="atLeast"/>
        </w:trPr>
        <w:tc>
          <w:tcPr>
            <w:tcW w:w="1540" w:type="dxa"/>
            <w:vAlign w:val="center"/>
          </w:tcPr>
          <w:p>
            <w:pPr>
              <w:jc w:val="center"/>
              <w:rPr>
                <w:sz w:val="21"/>
                <w:szCs w:val="21"/>
              </w:rPr>
            </w:pPr>
            <w:r>
              <w:rPr>
                <w:rFonts w:hint="eastAsia"/>
                <w:sz w:val="21"/>
                <w:szCs w:val="21"/>
              </w:rPr>
              <w:t>部门职能</w:t>
            </w:r>
          </w:p>
          <w:p>
            <w:pPr>
              <w:jc w:val="center"/>
              <w:rPr>
                <w:sz w:val="21"/>
                <w:szCs w:val="21"/>
              </w:rPr>
            </w:pPr>
            <w:r>
              <w:rPr>
                <w:rFonts w:hint="eastAsia"/>
                <w:sz w:val="21"/>
                <w:szCs w:val="21"/>
              </w:rPr>
              <w:t>职责概述</w:t>
            </w:r>
          </w:p>
        </w:tc>
        <w:tc>
          <w:tcPr>
            <w:tcW w:w="8296" w:type="dxa"/>
            <w:gridSpan w:val="6"/>
            <w:vAlign w:val="center"/>
          </w:tcPr>
          <w:p>
            <w:pPr>
              <w:widowControl/>
              <w:jc w:val="left"/>
              <w:rPr>
                <w:rFonts w:hint="eastAsia"/>
                <w:kern w:val="0"/>
                <w:sz w:val="21"/>
                <w:szCs w:val="21"/>
              </w:rPr>
            </w:pPr>
            <w:r>
              <w:rPr>
                <w:rFonts w:hint="eastAsia"/>
                <w:kern w:val="0"/>
                <w:sz w:val="21"/>
                <w:szCs w:val="21"/>
              </w:rPr>
              <w:t>1.组织引导妇女学习贯彻习近平新时代中国特色社会主义思想和党的路线方针政策，用中国特色社会主义共同理想凝聚妇女。</w:t>
            </w:r>
          </w:p>
          <w:p>
            <w:pPr>
              <w:widowControl/>
              <w:jc w:val="left"/>
              <w:rPr>
                <w:rFonts w:hint="eastAsia"/>
                <w:kern w:val="0"/>
                <w:sz w:val="21"/>
                <w:szCs w:val="21"/>
              </w:rPr>
            </w:pPr>
            <w:r>
              <w:rPr>
                <w:rFonts w:hint="eastAsia"/>
                <w:kern w:val="0"/>
                <w:sz w:val="21"/>
                <w:szCs w:val="21"/>
              </w:rPr>
              <w:t>2.团结动员妇女投身改革开放和社会主义经济建设、政治建设、文化建设、社会建设和生态文明建设，注重发挥妇女在社会生活和家庭生活中的独特作用，为中国特色社会主义伟大实践作贡献。</w:t>
            </w:r>
          </w:p>
          <w:p>
            <w:pPr>
              <w:widowControl/>
              <w:jc w:val="left"/>
              <w:rPr>
                <w:rFonts w:hint="eastAsia"/>
                <w:kern w:val="0"/>
                <w:sz w:val="21"/>
                <w:szCs w:val="21"/>
              </w:rPr>
            </w:pPr>
            <w:r>
              <w:rPr>
                <w:rFonts w:hint="eastAsia"/>
                <w:kern w:val="0"/>
                <w:sz w:val="21"/>
                <w:szCs w:val="21"/>
              </w:rPr>
              <w:t>3.代表妇女参与管理国家事务、管理经济和文化事业、管理社会事务，参与民主决策、民主管理、民主监督，参与有关法律、法规、规章和政策的制定，参与社会治理和公共服务，推动保障妇女权益法律政策和妇女、儿童发展纲要的实施。</w:t>
            </w:r>
          </w:p>
          <w:p>
            <w:pPr>
              <w:widowControl/>
              <w:jc w:val="left"/>
              <w:rPr>
                <w:rFonts w:hint="eastAsia"/>
                <w:kern w:val="0"/>
                <w:sz w:val="21"/>
                <w:szCs w:val="21"/>
              </w:rPr>
            </w:pPr>
            <w:r>
              <w:rPr>
                <w:rFonts w:hint="eastAsia"/>
                <w:kern w:val="0"/>
                <w:sz w:val="21"/>
                <w:szCs w:val="21"/>
              </w:rPr>
              <w:t>4.维护妇女儿童合法权益，倾听妇女意见，反映妇女诉求，向党委、政府提出有关建议，要求并协助有关部门或单位查处侵害妇女儿童权益的行为，为受侵害的妇女儿童提供帮助。</w:t>
            </w:r>
          </w:p>
          <w:p>
            <w:pPr>
              <w:widowControl/>
              <w:jc w:val="left"/>
              <w:rPr>
                <w:rFonts w:hint="eastAsia"/>
                <w:kern w:val="0"/>
                <w:sz w:val="21"/>
                <w:szCs w:val="21"/>
              </w:rPr>
            </w:pPr>
            <w:r>
              <w:rPr>
                <w:rFonts w:hint="eastAsia"/>
                <w:kern w:val="0"/>
                <w:sz w:val="21"/>
                <w:szCs w:val="21"/>
              </w:rPr>
              <w:t>5.教育引导妇女树立自尊、自信、自立、自强的精神，提高综合素质，实现全面发展。宣传马克思主义妇女观，推动落实男女平等基本国策，营造有利于妇女全面发展的社会环境。宣传表彰优秀妇女典型，培养、推荐女性人才。</w:t>
            </w:r>
          </w:p>
          <w:p>
            <w:pPr>
              <w:widowControl/>
              <w:jc w:val="left"/>
              <w:rPr>
                <w:rFonts w:hint="eastAsia"/>
                <w:kern w:val="0"/>
                <w:sz w:val="21"/>
                <w:szCs w:val="21"/>
              </w:rPr>
            </w:pPr>
            <w:r>
              <w:rPr>
                <w:rFonts w:hint="eastAsia"/>
                <w:kern w:val="0"/>
                <w:sz w:val="21"/>
                <w:szCs w:val="21"/>
              </w:rPr>
              <w:t>6.教育引导妇女践行社会主义核心价值观，</w:t>
            </w:r>
            <w:r>
              <w:rPr>
                <w:rFonts w:hint="eastAsia"/>
                <w:kern w:val="0"/>
                <w:sz w:val="21"/>
                <w:szCs w:val="21"/>
                <w:lang w:eastAsia="zh-CN"/>
              </w:rPr>
              <w:t>弘扬中华优秀传统文化</w:t>
            </w:r>
            <w:bookmarkStart w:id="0" w:name="_GoBack"/>
            <w:bookmarkEnd w:id="0"/>
            <w:r>
              <w:rPr>
                <w:rFonts w:hint="eastAsia"/>
                <w:kern w:val="0"/>
                <w:sz w:val="21"/>
                <w:szCs w:val="21"/>
              </w:rPr>
              <w:t>，组织开展家庭文明创建，支持服务家庭教育，传承中华民族家庭美德，树立良好家风，推动形成家庭文明新风尚。</w:t>
            </w:r>
          </w:p>
          <w:p>
            <w:pPr>
              <w:widowControl/>
              <w:jc w:val="left"/>
              <w:rPr>
                <w:rFonts w:hint="eastAsia"/>
                <w:kern w:val="0"/>
                <w:sz w:val="21"/>
                <w:szCs w:val="21"/>
              </w:rPr>
            </w:pPr>
            <w:r>
              <w:rPr>
                <w:rFonts w:hint="eastAsia"/>
                <w:kern w:val="0"/>
                <w:sz w:val="21"/>
                <w:szCs w:val="21"/>
              </w:rPr>
              <w:t>7.关心妇女工作生活，拓宽服务渠道，创新服务方式，建设服务阵地，发展公益事业，壮大巾帼志愿者队伍，加强妇女之家建设。联系和引导女性社会组织，加强与社会各界的协作，推动全社会为妇女儿童和家庭服务。</w:t>
            </w:r>
          </w:p>
          <w:p>
            <w:pPr>
              <w:widowControl/>
              <w:jc w:val="left"/>
              <w:rPr>
                <w:rFonts w:hint="eastAsia"/>
                <w:kern w:val="0"/>
                <w:sz w:val="21"/>
                <w:szCs w:val="21"/>
              </w:rPr>
            </w:pPr>
            <w:r>
              <w:rPr>
                <w:rFonts w:hint="eastAsia"/>
                <w:kern w:val="0"/>
                <w:sz w:val="21"/>
                <w:szCs w:val="21"/>
              </w:rPr>
              <w:t>8.巩固和扩大各族各界、各行各业妇女的大团结。加强同广大妇女群众、妇女组织的交流合作</w:t>
            </w:r>
          </w:p>
          <w:p>
            <w:pPr>
              <w:widowControl/>
              <w:jc w:val="left"/>
              <w:rPr>
                <w:rFonts w:hint="eastAsia"/>
                <w:kern w:val="0"/>
                <w:sz w:val="21"/>
                <w:szCs w:val="21"/>
              </w:rPr>
            </w:pPr>
            <w:r>
              <w:rPr>
                <w:rFonts w:hint="eastAsia"/>
                <w:kern w:val="0"/>
                <w:sz w:val="21"/>
                <w:szCs w:val="21"/>
              </w:rPr>
              <w:t>9.承办县委、县政府交办的其他事项。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92" w:hRule="atLeast"/>
        </w:trPr>
        <w:tc>
          <w:tcPr>
            <w:tcW w:w="1540" w:type="dxa"/>
            <w:vAlign w:val="center"/>
          </w:tcPr>
          <w:p>
            <w:pPr>
              <w:jc w:val="center"/>
              <w:rPr>
                <w:sz w:val="21"/>
                <w:szCs w:val="21"/>
              </w:rPr>
            </w:pPr>
            <w:r>
              <w:rPr>
                <w:rFonts w:hint="eastAsia"/>
                <w:sz w:val="21"/>
                <w:szCs w:val="21"/>
              </w:rPr>
              <w:t>整体绩效目标</w:t>
            </w:r>
          </w:p>
        </w:tc>
        <w:tc>
          <w:tcPr>
            <w:tcW w:w="8296" w:type="dxa"/>
            <w:gridSpan w:val="6"/>
            <w:vAlign w:val="center"/>
          </w:tcPr>
          <w:p>
            <w:pPr>
              <w:widowControl/>
              <w:jc w:val="left"/>
              <w:rPr>
                <w:rFonts w:cs="宋体"/>
                <w:kern w:val="0"/>
                <w:sz w:val="21"/>
                <w:szCs w:val="21"/>
              </w:rPr>
            </w:pPr>
            <w:r>
              <w:rPr>
                <w:rFonts w:hint="eastAsia" w:cs="宋体"/>
                <w:kern w:val="0"/>
                <w:sz w:val="21"/>
                <w:szCs w:val="21"/>
              </w:rPr>
              <w:t>目标： 通过预算执行，保障单位履职、运转。着力加强妇女思想政治引领，联系服务妇女群众，坚持男女平等，维护妇女儿童合法权益，促进妇女全面发展，促进妇女与经济社会同步发展。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restart"/>
            <w:vAlign w:val="center"/>
          </w:tcPr>
          <w:p>
            <w:pPr>
              <w:jc w:val="center"/>
              <w:rPr>
                <w:sz w:val="21"/>
                <w:szCs w:val="21"/>
              </w:rPr>
            </w:pPr>
            <w:r>
              <w:rPr>
                <w:rFonts w:hint="eastAsia"/>
                <w:sz w:val="21"/>
                <w:szCs w:val="21"/>
              </w:rPr>
              <w:t>部门整体支出年度绩效指标</w:t>
            </w:r>
          </w:p>
        </w:tc>
        <w:tc>
          <w:tcPr>
            <w:tcW w:w="1395" w:type="dxa"/>
            <w:tcBorders>
              <w:right w:val="single" w:color="auto" w:sz="4" w:space="0"/>
            </w:tcBorders>
            <w:vAlign w:val="center"/>
          </w:tcPr>
          <w:p>
            <w:pPr>
              <w:jc w:val="center"/>
              <w:rPr>
                <w:sz w:val="21"/>
                <w:szCs w:val="21"/>
              </w:rPr>
            </w:pPr>
            <w:r>
              <w:rPr>
                <w:rFonts w:hint="eastAsia"/>
                <w:sz w:val="21"/>
                <w:szCs w:val="21"/>
              </w:rPr>
              <w:t>一级指标</w:t>
            </w:r>
          </w:p>
        </w:tc>
        <w:tc>
          <w:tcPr>
            <w:tcW w:w="1627" w:type="dxa"/>
            <w:tcBorders>
              <w:left w:val="single" w:color="auto" w:sz="4" w:space="0"/>
            </w:tcBorders>
            <w:vAlign w:val="center"/>
          </w:tcPr>
          <w:p>
            <w:pPr>
              <w:jc w:val="center"/>
              <w:rPr>
                <w:sz w:val="21"/>
                <w:szCs w:val="21"/>
              </w:rPr>
            </w:pPr>
            <w:r>
              <w:rPr>
                <w:rFonts w:hint="eastAsia"/>
                <w:sz w:val="21"/>
                <w:szCs w:val="21"/>
              </w:rPr>
              <w:t>二级指标</w:t>
            </w:r>
          </w:p>
        </w:tc>
        <w:tc>
          <w:tcPr>
            <w:tcW w:w="2342" w:type="dxa"/>
            <w:gridSpan w:val="2"/>
            <w:vAlign w:val="center"/>
          </w:tcPr>
          <w:p>
            <w:pPr>
              <w:jc w:val="center"/>
              <w:rPr>
                <w:sz w:val="21"/>
                <w:szCs w:val="21"/>
              </w:rPr>
            </w:pPr>
            <w:r>
              <w:rPr>
                <w:rFonts w:hint="eastAsia"/>
                <w:sz w:val="21"/>
                <w:szCs w:val="21"/>
              </w:rPr>
              <w:t>三级指标</w:t>
            </w:r>
          </w:p>
        </w:tc>
        <w:tc>
          <w:tcPr>
            <w:tcW w:w="2932" w:type="dxa"/>
            <w:gridSpan w:val="2"/>
            <w:tcBorders>
              <w:right w:val="single" w:color="auto" w:sz="4" w:space="0"/>
            </w:tcBorders>
            <w:vAlign w:val="center"/>
          </w:tcPr>
          <w:p>
            <w:pPr>
              <w:jc w:val="center"/>
              <w:rPr>
                <w:sz w:val="21"/>
                <w:szCs w:val="21"/>
              </w:rPr>
            </w:pPr>
            <w:r>
              <w:rPr>
                <w:rFonts w:hint="eastAsia"/>
                <w:sz w:val="21"/>
                <w:szCs w:val="21"/>
              </w:rPr>
              <w:t>指标值及单位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540" w:type="dxa"/>
            <w:vMerge w:val="continue"/>
            <w:vAlign w:val="center"/>
          </w:tcPr>
          <w:p>
            <w:pPr>
              <w:jc w:val="center"/>
              <w:rPr>
                <w:sz w:val="21"/>
                <w:szCs w:val="21"/>
              </w:rPr>
            </w:pPr>
          </w:p>
        </w:tc>
        <w:tc>
          <w:tcPr>
            <w:tcW w:w="1395" w:type="dxa"/>
            <w:vMerge w:val="restart"/>
            <w:tcBorders>
              <w:right w:val="single" w:color="auto" w:sz="4" w:space="0"/>
            </w:tcBorders>
            <w:vAlign w:val="center"/>
          </w:tcPr>
          <w:p>
            <w:pPr>
              <w:jc w:val="center"/>
              <w:rPr>
                <w:sz w:val="21"/>
                <w:szCs w:val="21"/>
              </w:rPr>
            </w:pPr>
            <w:r>
              <w:rPr>
                <w:rFonts w:hint="eastAsia"/>
                <w:sz w:val="21"/>
                <w:szCs w:val="21"/>
              </w:rPr>
              <w:t>产出指标</w:t>
            </w:r>
          </w:p>
        </w:tc>
        <w:tc>
          <w:tcPr>
            <w:tcW w:w="1627" w:type="dxa"/>
            <w:vMerge w:val="restart"/>
            <w:tcBorders>
              <w:left w:val="single" w:color="auto" w:sz="4" w:space="0"/>
            </w:tcBorders>
            <w:vAlign w:val="center"/>
          </w:tcPr>
          <w:p>
            <w:pPr>
              <w:jc w:val="center"/>
              <w:rPr>
                <w:sz w:val="21"/>
                <w:szCs w:val="21"/>
              </w:rPr>
            </w:pPr>
            <w:r>
              <w:rPr>
                <w:sz w:val="21"/>
                <w:szCs w:val="21"/>
              </w:rPr>
              <w:t>数量指标</w:t>
            </w:r>
          </w:p>
        </w:tc>
        <w:tc>
          <w:tcPr>
            <w:tcW w:w="2342" w:type="dxa"/>
            <w:gridSpan w:val="2"/>
            <w:vAlign w:val="center"/>
          </w:tcPr>
          <w:p>
            <w:pPr>
              <w:jc w:val="center"/>
              <w:rPr>
                <w:sz w:val="21"/>
                <w:szCs w:val="21"/>
              </w:rPr>
            </w:pPr>
            <w:r>
              <w:rPr>
                <w:sz w:val="21"/>
                <w:szCs w:val="21"/>
              </w:rPr>
              <w:t>财政供养人员</w:t>
            </w:r>
          </w:p>
        </w:tc>
        <w:tc>
          <w:tcPr>
            <w:tcW w:w="2932" w:type="dxa"/>
            <w:gridSpan w:val="2"/>
            <w:tcBorders>
              <w:bottom w:val="single" w:color="auto" w:sz="4" w:space="0"/>
              <w:right w:val="single" w:color="auto" w:sz="4" w:space="0"/>
            </w:tcBorders>
            <w:vAlign w:val="center"/>
          </w:tcPr>
          <w:p>
            <w:pPr>
              <w:jc w:val="center"/>
              <w:rPr>
                <w:sz w:val="21"/>
                <w:szCs w:val="21"/>
              </w:rPr>
            </w:pPr>
            <w:r>
              <w:rPr>
                <w:rFonts w:hint="eastAsia"/>
                <w:sz w:val="21"/>
                <w:szCs w:val="21"/>
                <w:lang w:val="en-US" w:eastAsia="zh-CN"/>
              </w:rPr>
              <w:t>6</w:t>
            </w:r>
            <w:r>
              <w:rPr>
                <w:rFonts w:hint="eastAsia"/>
                <w:sz w:val="21"/>
                <w:szCs w:val="21"/>
              </w:rPr>
              <w:t>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540" w:type="dxa"/>
            <w:vMerge w:val="continue"/>
            <w:vAlign w:val="center"/>
          </w:tcPr>
          <w:p>
            <w:pPr>
              <w:jc w:val="center"/>
              <w:rPr>
                <w:sz w:val="21"/>
                <w:szCs w:val="21"/>
              </w:rPr>
            </w:pPr>
          </w:p>
        </w:tc>
        <w:tc>
          <w:tcPr>
            <w:tcW w:w="1395" w:type="dxa"/>
            <w:vMerge w:val="continue"/>
            <w:tcBorders>
              <w:right w:val="single" w:color="auto" w:sz="4" w:space="0"/>
            </w:tcBorders>
            <w:vAlign w:val="center"/>
          </w:tcPr>
          <w:p>
            <w:pPr>
              <w:jc w:val="center"/>
              <w:rPr>
                <w:sz w:val="21"/>
                <w:szCs w:val="21"/>
              </w:rPr>
            </w:pPr>
          </w:p>
        </w:tc>
        <w:tc>
          <w:tcPr>
            <w:tcW w:w="1627" w:type="dxa"/>
            <w:vMerge w:val="continue"/>
            <w:tcBorders>
              <w:left w:val="single" w:color="auto" w:sz="4" w:space="0"/>
            </w:tcBorders>
            <w:vAlign w:val="center"/>
          </w:tcPr>
          <w:p>
            <w:pPr>
              <w:jc w:val="center"/>
              <w:rPr>
                <w:sz w:val="21"/>
                <w:szCs w:val="21"/>
              </w:rPr>
            </w:pPr>
          </w:p>
        </w:tc>
        <w:tc>
          <w:tcPr>
            <w:tcW w:w="2342" w:type="dxa"/>
            <w:gridSpan w:val="2"/>
            <w:vAlign w:val="center"/>
          </w:tcPr>
          <w:p>
            <w:pPr>
              <w:jc w:val="center"/>
              <w:rPr>
                <w:sz w:val="21"/>
                <w:szCs w:val="21"/>
              </w:rPr>
            </w:pPr>
            <w:r>
              <w:rPr>
                <w:sz w:val="21"/>
                <w:szCs w:val="21"/>
              </w:rPr>
              <w:t>部门单位履职运转</w:t>
            </w:r>
          </w:p>
        </w:tc>
        <w:tc>
          <w:tcPr>
            <w:tcW w:w="2932" w:type="dxa"/>
            <w:gridSpan w:val="2"/>
            <w:tcBorders>
              <w:top w:val="single" w:color="auto" w:sz="4" w:space="0"/>
              <w:bottom w:val="single" w:color="auto" w:sz="4" w:space="0"/>
              <w:right w:val="single" w:color="auto" w:sz="4" w:space="0"/>
            </w:tcBorders>
            <w:vAlign w:val="center"/>
          </w:tcPr>
          <w:p>
            <w:pPr>
              <w:jc w:val="center"/>
              <w:rPr>
                <w:sz w:val="21"/>
                <w:szCs w:val="21"/>
              </w:rPr>
            </w:pPr>
            <w:r>
              <w:rPr>
                <w:sz w:val="21"/>
                <w:szCs w:val="21"/>
              </w:rPr>
              <w:t>予以保障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continue"/>
            <w:vAlign w:val="center"/>
          </w:tcPr>
          <w:p>
            <w:pPr>
              <w:jc w:val="center"/>
              <w:rPr>
                <w:sz w:val="21"/>
                <w:szCs w:val="21"/>
              </w:rPr>
            </w:pPr>
          </w:p>
        </w:tc>
        <w:tc>
          <w:tcPr>
            <w:tcW w:w="1395" w:type="dxa"/>
            <w:vMerge w:val="continue"/>
            <w:tcBorders>
              <w:right w:val="single" w:color="auto" w:sz="4" w:space="0"/>
            </w:tcBorders>
            <w:vAlign w:val="center"/>
          </w:tcPr>
          <w:p>
            <w:pPr>
              <w:jc w:val="center"/>
              <w:rPr>
                <w:sz w:val="21"/>
                <w:szCs w:val="21"/>
              </w:rPr>
            </w:pPr>
          </w:p>
        </w:tc>
        <w:tc>
          <w:tcPr>
            <w:tcW w:w="1627" w:type="dxa"/>
            <w:vMerge w:val="restart"/>
            <w:tcBorders>
              <w:left w:val="single" w:color="auto" w:sz="4" w:space="0"/>
            </w:tcBorders>
            <w:vAlign w:val="center"/>
          </w:tcPr>
          <w:p>
            <w:pPr>
              <w:jc w:val="center"/>
              <w:rPr>
                <w:sz w:val="21"/>
                <w:szCs w:val="21"/>
              </w:rPr>
            </w:pPr>
            <w:r>
              <w:rPr>
                <w:sz w:val="21"/>
                <w:szCs w:val="21"/>
              </w:rPr>
              <w:t>质量指标</w:t>
            </w:r>
          </w:p>
        </w:tc>
        <w:tc>
          <w:tcPr>
            <w:tcW w:w="2342" w:type="dxa"/>
            <w:gridSpan w:val="2"/>
            <w:vAlign w:val="center"/>
          </w:tcPr>
          <w:p>
            <w:pPr>
              <w:jc w:val="center"/>
              <w:rPr>
                <w:sz w:val="21"/>
                <w:szCs w:val="21"/>
              </w:rPr>
            </w:pPr>
            <w:r>
              <w:rPr>
                <w:sz w:val="21"/>
                <w:szCs w:val="21"/>
              </w:rPr>
              <w:t>在职人员控制率</w:t>
            </w:r>
          </w:p>
        </w:tc>
        <w:tc>
          <w:tcPr>
            <w:tcW w:w="2932" w:type="dxa"/>
            <w:gridSpan w:val="2"/>
            <w:tcBorders>
              <w:top w:val="single" w:color="auto" w:sz="4" w:space="0"/>
              <w:bottom w:val="single" w:color="auto" w:sz="4" w:space="0"/>
            </w:tcBorders>
            <w:vAlign w:val="center"/>
          </w:tcPr>
          <w:p>
            <w:pPr>
              <w:jc w:val="center"/>
              <w:rPr>
                <w:sz w:val="21"/>
                <w:szCs w:val="21"/>
              </w:rPr>
            </w:pPr>
            <w:r>
              <w:rPr>
                <w:rFonts w:hint="eastAsia" w:ascii="宋体" w:hAnsi="宋体" w:eastAsia="宋体" w:cs="宋体"/>
                <w:sz w:val="21"/>
                <w:szCs w:val="21"/>
              </w:rPr>
              <w:t>≦</w:t>
            </w:r>
            <w:r>
              <w:rPr>
                <w:rFonts w:hint="eastAsia" w:eastAsia="宋体"/>
                <w:sz w:val="21"/>
                <w:szCs w:val="21"/>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continue"/>
            <w:vAlign w:val="center"/>
          </w:tcPr>
          <w:p>
            <w:pPr>
              <w:jc w:val="center"/>
              <w:rPr>
                <w:sz w:val="21"/>
                <w:szCs w:val="21"/>
              </w:rPr>
            </w:pPr>
          </w:p>
        </w:tc>
        <w:tc>
          <w:tcPr>
            <w:tcW w:w="1395" w:type="dxa"/>
            <w:vMerge w:val="continue"/>
            <w:tcBorders>
              <w:right w:val="single" w:color="auto" w:sz="4" w:space="0"/>
            </w:tcBorders>
            <w:vAlign w:val="center"/>
          </w:tcPr>
          <w:p>
            <w:pPr>
              <w:jc w:val="center"/>
              <w:rPr>
                <w:sz w:val="21"/>
                <w:szCs w:val="21"/>
              </w:rPr>
            </w:pPr>
          </w:p>
        </w:tc>
        <w:tc>
          <w:tcPr>
            <w:tcW w:w="1627" w:type="dxa"/>
            <w:vMerge w:val="continue"/>
            <w:tcBorders>
              <w:left w:val="single" w:color="auto" w:sz="4" w:space="0"/>
            </w:tcBorders>
            <w:vAlign w:val="center"/>
          </w:tcPr>
          <w:p>
            <w:pPr>
              <w:jc w:val="center"/>
              <w:rPr>
                <w:sz w:val="21"/>
                <w:szCs w:val="21"/>
              </w:rPr>
            </w:pPr>
          </w:p>
        </w:tc>
        <w:tc>
          <w:tcPr>
            <w:tcW w:w="2342" w:type="dxa"/>
            <w:gridSpan w:val="2"/>
            <w:vAlign w:val="center"/>
          </w:tcPr>
          <w:p>
            <w:pPr>
              <w:jc w:val="center"/>
              <w:rPr>
                <w:sz w:val="21"/>
                <w:szCs w:val="21"/>
              </w:rPr>
            </w:pPr>
            <w:r>
              <w:rPr>
                <w:sz w:val="21"/>
                <w:szCs w:val="21"/>
              </w:rPr>
              <w:t>公用经费控制率</w:t>
            </w:r>
          </w:p>
        </w:tc>
        <w:tc>
          <w:tcPr>
            <w:tcW w:w="2932" w:type="dxa"/>
            <w:gridSpan w:val="2"/>
            <w:tcBorders>
              <w:top w:val="single" w:color="auto" w:sz="4" w:space="0"/>
            </w:tcBorders>
            <w:vAlign w:val="center"/>
          </w:tcPr>
          <w:p>
            <w:pPr>
              <w:jc w:val="center"/>
              <w:rPr>
                <w:sz w:val="21"/>
                <w:szCs w:val="21"/>
              </w:rPr>
            </w:pPr>
            <w:r>
              <w:rPr>
                <w:rFonts w:hint="eastAsia" w:ascii="宋体" w:hAnsi="宋体" w:eastAsia="宋体" w:cs="宋体"/>
                <w:sz w:val="21"/>
                <w:szCs w:val="21"/>
              </w:rPr>
              <w:t>≦</w:t>
            </w:r>
            <w:r>
              <w:rPr>
                <w:rFonts w:hint="eastAsia" w:eastAsia="宋体"/>
                <w:sz w:val="21"/>
                <w:szCs w:val="21"/>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continue"/>
            <w:vAlign w:val="center"/>
          </w:tcPr>
          <w:p>
            <w:pPr>
              <w:jc w:val="center"/>
              <w:rPr>
                <w:sz w:val="21"/>
                <w:szCs w:val="21"/>
              </w:rPr>
            </w:pPr>
          </w:p>
        </w:tc>
        <w:tc>
          <w:tcPr>
            <w:tcW w:w="1395" w:type="dxa"/>
            <w:vMerge w:val="continue"/>
            <w:tcBorders>
              <w:right w:val="single" w:color="auto" w:sz="4" w:space="0"/>
            </w:tcBorders>
            <w:vAlign w:val="center"/>
          </w:tcPr>
          <w:p>
            <w:pPr>
              <w:jc w:val="center"/>
              <w:rPr>
                <w:sz w:val="21"/>
                <w:szCs w:val="21"/>
              </w:rPr>
            </w:pPr>
          </w:p>
        </w:tc>
        <w:tc>
          <w:tcPr>
            <w:tcW w:w="1627" w:type="dxa"/>
            <w:vMerge w:val="restart"/>
            <w:tcBorders>
              <w:left w:val="single" w:color="auto" w:sz="4" w:space="0"/>
            </w:tcBorders>
            <w:vAlign w:val="center"/>
          </w:tcPr>
          <w:p>
            <w:pPr>
              <w:jc w:val="center"/>
              <w:rPr>
                <w:sz w:val="21"/>
                <w:szCs w:val="21"/>
              </w:rPr>
            </w:pPr>
            <w:r>
              <w:rPr>
                <w:sz w:val="21"/>
                <w:szCs w:val="21"/>
              </w:rPr>
              <w:t>成本指标</w:t>
            </w:r>
          </w:p>
        </w:tc>
        <w:tc>
          <w:tcPr>
            <w:tcW w:w="2342" w:type="dxa"/>
            <w:gridSpan w:val="2"/>
            <w:vAlign w:val="center"/>
          </w:tcPr>
          <w:p>
            <w:pPr>
              <w:jc w:val="center"/>
              <w:rPr>
                <w:sz w:val="21"/>
                <w:szCs w:val="21"/>
              </w:rPr>
            </w:pPr>
            <w:r>
              <w:rPr>
                <w:sz w:val="21"/>
                <w:szCs w:val="21"/>
              </w:rPr>
              <w:t>人员经费支出</w:t>
            </w:r>
          </w:p>
        </w:tc>
        <w:tc>
          <w:tcPr>
            <w:tcW w:w="2932" w:type="dxa"/>
            <w:gridSpan w:val="2"/>
            <w:vAlign w:val="center"/>
          </w:tcPr>
          <w:p>
            <w:pPr>
              <w:jc w:val="center"/>
              <w:rPr>
                <w:sz w:val="21"/>
                <w:szCs w:val="21"/>
              </w:rPr>
            </w:pPr>
            <w:r>
              <w:rPr>
                <w:rFonts w:hint="eastAsia" w:ascii="宋体" w:hAnsi="宋体" w:eastAsia="宋体" w:cs="宋体"/>
                <w:sz w:val="21"/>
                <w:szCs w:val="21"/>
              </w:rPr>
              <w:t>≦</w:t>
            </w:r>
            <w:r>
              <w:rPr>
                <w:rFonts w:hint="eastAsia" w:eastAsia="宋体" w:asciiTheme="minorEastAsia" w:hAnsiTheme="minorEastAsia"/>
                <w:sz w:val="21"/>
                <w:szCs w:val="21"/>
                <w:lang w:val="en-US" w:eastAsia="zh-CN"/>
              </w:rPr>
              <w:t>64.24</w:t>
            </w:r>
            <w:r>
              <w:rPr>
                <w:rFonts w:hint="eastAsia" w:asciiTheme="minorEastAsia" w:hAnsiTheme="minorEastAsia"/>
                <w:sz w:val="21"/>
                <w:szCs w:val="21"/>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0" w:type="dxa"/>
            <w:vMerge w:val="continue"/>
            <w:vAlign w:val="center"/>
          </w:tcPr>
          <w:p>
            <w:pPr>
              <w:jc w:val="center"/>
              <w:rPr>
                <w:sz w:val="21"/>
                <w:szCs w:val="21"/>
              </w:rPr>
            </w:pPr>
          </w:p>
        </w:tc>
        <w:tc>
          <w:tcPr>
            <w:tcW w:w="1395" w:type="dxa"/>
            <w:vMerge w:val="continue"/>
            <w:tcBorders>
              <w:right w:val="single" w:color="auto" w:sz="4" w:space="0"/>
            </w:tcBorders>
            <w:vAlign w:val="center"/>
          </w:tcPr>
          <w:p>
            <w:pPr>
              <w:jc w:val="center"/>
              <w:rPr>
                <w:sz w:val="21"/>
                <w:szCs w:val="21"/>
              </w:rPr>
            </w:pPr>
          </w:p>
        </w:tc>
        <w:tc>
          <w:tcPr>
            <w:tcW w:w="1627" w:type="dxa"/>
            <w:vMerge w:val="continue"/>
            <w:tcBorders>
              <w:left w:val="single" w:color="auto" w:sz="4" w:space="0"/>
            </w:tcBorders>
            <w:vAlign w:val="center"/>
          </w:tcPr>
          <w:p>
            <w:pPr>
              <w:jc w:val="center"/>
              <w:rPr>
                <w:sz w:val="21"/>
                <w:szCs w:val="21"/>
              </w:rPr>
            </w:pPr>
          </w:p>
        </w:tc>
        <w:tc>
          <w:tcPr>
            <w:tcW w:w="2342" w:type="dxa"/>
            <w:gridSpan w:val="2"/>
            <w:vAlign w:val="center"/>
          </w:tcPr>
          <w:p>
            <w:pPr>
              <w:jc w:val="center"/>
              <w:rPr>
                <w:sz w:val="21"/>
                <w:szCs w:val="21"/>
              </w:rPr>
            </w:pPr>
            <w:r>
              <w:rPr>
                <w:sz w:val="21"/>
                <w:szCs w:val="21"/>
              </w:rPr>
              <w:t>公用经费支出</w:t>
            </w:r>
          </w:p>
        </w:tc>
        <w:tc>
          <w:tcPr>
            <w:tcW w:w="2932" w:type="dxa"/>
            <w:gridSpan w:val="2"/>
            <w:vAlign w:val="center"/>
          </w:tcPr>
          <w:p>
            <w:pPr>
              <w:jc w:val="center"/>
              <w:rPr>
                <w:sz w:val="21"/>
                <w:szCs w:val="21"/>
              </w:rPr>
            </w:pPr>
            <w:r>
              <w:rPr>
                <w:rFonts w:hint="eastAsia" w:ascii="宋体" w:hAnsi="宋体" w:eastAsia="宋体" w:cs="宋体"/>
                <w:sz w:val="21"/>
                <w:szCs w:val="21"/>
              </w:rPr>
              <w:t>≦</w:t>
            </w:r>
            <w:r>
              <w:rPr>
                <w:rFonts w:hint="eastAsia" w:eastAsia="宋体" w:asciiTheme="minorEastAsia" w:hAnsiTheme="minorEastAsia"/>
                <w:sz w:val="21"/>
                <w:szCs w:val="21"/>
                <w:lang w:val="en-US" w:eastAsia="zh-CN"/>
              </w:rPr>
              <w:t>4.2</w:t>
            </w:r>
            <w:r>
              <w:rPr>
                <w:rFonts w:hint="eastAsia" w:asciiTheme="minorEastAsia" w:hAnsiTheme="minorEastAsia"/>
                <w:sz w:val="21"/>
                <w:szCs w:val="21"/>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6" w:hRule="atLeast"/>
        </w:trPr>
        <w:tc>
          <w:tcPr>
            <w:tcW w:w="1540" w:type="dxa"/>
            <w:vMerge w:val="continue"/>
            <w:vAlign w:val="center"/>
          </w:tcPr>
          <w:p>
            <w:pPr>
              <w:jc w:val="center"/>
              <w:rPr>
                <w:sz w:val="21"/>
                <w:szCs w:val="21"/>
              </w:rPr>
            </w:pPr>
          </w:p>
        </w:tc>
        <w:tc>
          <w:tcPr>
            <w:tcW w:w="1395" w:type="dxa"/>
            <w:vMerge w:val="continue"/>
            <w:tcBorders>
              <w:right w:val="single" w:color="auto" w:sz="4" w:space="0"/>
            </w:tcBorders>
            <w:vAlign w:val="center"/>
          </w:tcPr>
          <w:p>
            <w:pPr>
              <w:jc w:val="center"/>
              <w:rPr>
                <w:sz w:val="21"/>
                <w:szCs w:val="21"/>
              </w:rPr>
            </w:pPr>
          </w:p>
        </w:tc>
        <w:tc>
          <w:tcPr>
            <w:tcW w:w="1627" w:type="dxa"/>
            <w:tcBorders>
              <w:left w:val="single" w:color="auto" w:sz="4" w:space="0"/>
            </w:tcBorders>
            <w:vAlign w:val="center"/>
          </w:tcPr>
          <w:p>
            <w:pPr>
              <w:jc w:val="center"/>
              <w:rPr>
                <w:sz w:val="21"/>
                <w:szCs w:val="21"/>
              </w:rPr>
            </w:pPr>
            <w:r>
              <w:rPr>
                <w:rFonts w:hint="eastAsia"/>
                <w:sz w:val="21"/>
                <w:szCs w:val="21"/>
              </w:rPr>
              <w:t>时效指标</w:t>
            </w:r>
          </w:p>
        </w:tc>
        <w:tc>
          <w:tcPr>
            <w:tcW w:w="2342" w:type="dxa"/>
            <w:gridSpan w:val="2"/>
            <w:vAlign w:val="center"/>
          </w:tcPr>
          <w:p>
            <w:pPr>
              <w:jc w:val="center"/>
              <w:rPr>
                <w:sz w:val="21"/>
                <w:szCs w:val="21"/>
              </w:rPr>
            </w:pPr>
            <w:r>
              <w:rPr>
                <w:rFonts w:hint="eastAsia"/>
                <w:sz w:val="21"/>
                <w:szCs w:val="21"/>
              </w:rPr>
              <w:t>完成单位职责及上级交办的各项任务时限</w:t>
            </w:r>
          </w:p>
        </w:tc>
        <w:tc>
          <w:tcPr>
            <w:tcW w:w="2932" w:type="dxa"/>
            <w:gridSpan w:val="2"/>
            <w:vAlign w:val="center"/>
          </w:tcPr>
          <w:p>
            <w:pPr>
              <w:jc w:val="center"/>
              <w:rPr>
                <w:sz w:val="21"/>
                <w:szCs w:val="21"/>
              </w:rPr>
            </w:pPr>
            <w:r>
              <w:rPr>
                <w:rFonts w:hint="eastAsia"/>
                <w:sz w:val="21"/>
                <w:szCs w:val="21"/>
              </w:rPr>
              <w:t>按相关规定及时完成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1540" w:type="dxa"/>
            <w:vMerge w:val="continue"/>
            <w:vAlign w:val="center"/>
          </w:tcPr>
          <w:p>
            <w:pPr>
              <w:jc w:val="center"/>
              <w:rPr>
                <w:sz w:val="21"/>
                <w:szCs w:val="21"/>
              </w:rPr>
            </w:pPr>
          </w:p>
        </w:tc>
        <w:tc>
          <w:tcPr>
            <w:tcW w:w="1395" w:type="dxa"/>
            <w:vMerge w:val="restart"/>
            <w:tcBorders>
              <w:top w:val="single" w:color="auto" w:sz="4" w:space="0"/>
              <w:right w:val="single" w:color="auto" w:sz="4" w:space="0"/>
            </w:tcBorders>
            <w:vAlign w:val="center"/>
          </w:tcPr>
          <w:p>
            <w:pPr>
              <w:jc w:val="center"/>
              <w:rPr>
                <w:sz w:val="21"/>
                <w:szCs w:val="21"/>
              </w:rPr>
            </w:pPr>
            <w:r>
              <w:rPr>
                <w:rFonts w:hint="eastAsia"/>
                <w:sz w:val="21"/>
                <w:szCs w:val="21"/>
              </w:rPr>
              <w:t>效益指标</w:t>
            </w:r>
          </w:p>
        </w:tc>
        <w:tc>
          <w:tcPr>
            <w:tcW w:w="1627" w:type="dxa"/>
            <w:tcBorders>
              <w:left w:val="single" w:color="auto" w:sz="4" w:space="0"/>
            </w:tcBorders>
            <w:vAlign w:val="center"/>
          </w:tcPr>
          <w:p>
            <w:pPr>
              <w:jc w:val="center"/>
              <w:rPr>
                <w:rFonts w:asciiTheme="majorEastAsia" w:hAnsiTheme="majorEastAsia" w:eastAsiaTheme="majorEastAsia"/>
                <w:sz w:val="21"/>
                <w:szCs w:val="21"/>
              </w:rPr>
            </w:pPr>
            <w:r>
              <w:rPr>
                <w:rFonts w:hint="eastAsia"/>
                <w:sz w:val="21"/>
                <w:szCs w:val="21"/>
              </w:rPr>
              <w:t>社会效益指标</w:t>
            </w:r>
          </w:p>
        </w:tc>
        <w:tc>
          <w:tcPr>
            <w:tcW w:w="2342" w:type="dxa"/>
            <w:gridSpan w:val="2"/>
            <w:tcBorders>
              <w:right w:val="single" w:color="auto" w:sz="4" w:space="0"/>
            </w:tcBorders>
            <w:vAlign w:val="center"/>
          </w:tcPr>
          <w:p>
            <w:pPr>
              <w:jc w:val="center"/>
              <w:rPr>
                <w:rFonts w:hint="eastAsia" w:asciiTheme="majorEastAsia" w:hAnsiTheme="majorEastAsia" w:eastAsiaTheme="minorEastAsia"/>
                <w:sz w:val="21"/>
                <w:szCs w:val="21"/>
                <w:lang w:eastAsia="zh-CN"/>
              </w:rPr>
            </w:pPr>
            <w:r>
              <w:rPr>
                <w:rFonts w:hint="eastAsia"/>
                <w:kern w:val="0"/>
                <w:sz w:val="21"/>
                <w:szCs w:val="21"/>
              </w:rPr>
              <w:t>引导妇女树立自尊、自信、自立、自强</w:t>
            </w:r>
            <w:r>
              <w:rPr>
                <w:rFonts w:hint="eastAsia"/>
                <w:kern w:val="0"/>
                <w:sz w:val="21"/>
                <w:szCs w:val="21"/>
                <w:lang w:eastAsia="zh-CN"/>
              </w:rPr>
              <w:t>，</w:t>
            </w:r>
            <w:r>
              <w:rPr>
                <w:rFonts w:hint="eastAsia"/>
                <w:kern w:val="0"/>
                <w:sz w:val="21"/>
                <w:szCs w:val="21"/>
              </w:rPr>
              <w:t>推动落实男女平等</w:t>
            </w:r>
            <w:r>
              <w:rPr>
                <w:rFonts w:hint="eastAsia"/>
                <w:kern w:val="0"/>
                <w:sz w:val="21"/>
                <w:szCs w:val="21"/>
                <w:lang w:eastAsia="zh-CN"/>
              </w:rPr>
              <w:t>，</w:t>
            </w:r>
            <w:r>
              <w:rPr>
                <w:rFonts w:hint="eastAsia" w:cs="宋体"/>
                <w:kern w:val="0"/>
                <w:sz w:val="21"/>
                <w:szCs w:val="21"/>
              </w:rPr>
              <w:t>维护妇女儿童合法权益</w:t>
            </w:r>
            <w:r>
              <w:rPr>
                <w:rFonts w:hint="eastAsia" w:cs="宋体"/>
                <w:kern w:val="0"/>
                <w:sz w:val="21"/>
                <w:szCs w:val="21"/>
                <w:lang w:eastAsia="zh-CN"/>
              </w:rPr>
              <w:t>。</w:t>
            </w:r>
          </w:p>
        </w:tc>
        <w:tc>
          <w:tcPr>
            <w:tcW w:w="2932" w:type="dxa"/>
            <w:gridSpan w:val="2"/>
            <w:tcBorders>
              <w:left w:val="single" w:color="auto" w:sz="4" w:space="0"/>
            </w:tcBorders>
            <w:vAlign w:val="center"/>
          </w:tcPr>
          <w:p>
            <w:pPr>
              <w:jc w:val="center"/>
              <w:rPr>
                <w:rFonts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1540" w:type="dxa"/>
            <w:vMerge w:val="continue"/>
            <w:vAlign w:val="center"/>
          </w:tcPr>
          <w:p>
            <w:pPr>
              <w:jc w:val="center"/>
              <w:rPr>
                <w:sz w:val="21"/>
                <w:szCs w:val="21"/>
              </w:rPr>
            </w:pPr>
          </w:p>
        </w:tc>
        <w:tc>
          <w:tcPr>
            <w:tcW w:w="1395" w:type="dxa"/>
            <w:vMerge w:val="continue"/>
            <w:tcBorders>
              <w:right w:val="single" w:color="auto" w:sz="4" w:space="0"/>
            </w:tcBorders>
            <w:vAlign w:val="center"/>
          </w:tcPr>
          <w:p>
            <w:pPr>
              <w:jc w:val="center"/>
              <w:rPr>
                <w:sz w:val="21"/>
                <w:szCs w:val="21"/>
              </w:rPr>
            </w:pPr>
          </w:p>
        </w:tc>
        <w:tc>
          <w:tcPr>
            <w:tcW w:w="1627" w:type="dxa"/>
            <w:tcBorders>
              <w:lef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社会公众或服务对象满意度</w:t>
            </w:r>
          </w:p>
        </w:tc>
        <w:tc>
          <w:tcPr>
            <w:tcW w:w="2342" w:type="dxa"/>
            <w:gridSpan w:val="2"/>
            <w:tcBorders>
              <w:right w:val="single" w:color="auto" w:sz="4" w:space="0"/>
            </w:tcBorders>
            <w:vAlign w:val="center"/>
          </w:tcPr>
          <w:p>
            <w:pPr>
              <w:jc w:val="center"/>
              <w:rPr>
                <w:rFonts w:asciiTheme="majorEastAsia" w:hAnsiTheme="majorEastAsia" w:eastAsiaTheme="majorEastAsia"/>
                <w:sz w:val="21"/>
                <w:szCs w:val="21"/>
              </w:rPr>
            </w:pPr>
            <w:r>
              <w:rPr>
                <w:rFonts w:hint="eastAsia"/>
                <w:sz w:val="21"/>
                <w:szCs w:val="21"/>
              </w:rPr>
              <w:t>妇女儿童满意度</w:t>
            </w:r>
          </w:p>
        </w:tc>
        <w:tc>
          <w:tcPr>
            <w:tcW w:w="2932" w:type="dxa"/>
            <w:gridSpan w:val="2"/>
            <w:tcBorders>
              <w:left w:val="single" w:color="auto" w:sz="4" w:space="0"/>
            </w:tcBorders>
            <w:vAlign w:val="center"/>
          </w:tcPr>
          <w:p>
            <w:pPr>
              <w:jc w:val="center"/>
              <w:rPr>
                <w:rFonts w:asciiTheme="majorEastAsia" w:hAnsiTheme="majorEastAsia" w:eastAsiaTheme="majorEastAsia"/>
                <w:sz w:val="21"/>
                <w:szCs w:val="21"/>
              </w:rPr>
            </w:pPr>
            <w:r>
              <w:rPr>
                <w:rFonts w:hint="eastAsia" w:cs="Arial" w:asciiTheme="majorEastAsia" w:hAnsiTheme="majorEastAsia" w:eastAsiaTheme="majorEastAsia"/>
                <w:kern w:val="0"/>
                <w:sz w:val="21"/>
                <w:szCs w:val="21"/>
              </w:rPr>
              <w:t>≧</w:t>
            </w:r>
            <w:r>
              <w:rPr>
                <w:rFonts w:hint="eastAsia" w:cs="宋体" w:asciiTheme="majorEastAsia" w:hAnsiTheme="majorEastAsia" w:eastAsiaTheme="majorEastAsia"/>
                <w:kern w:val="0"/>
                <w:sz w:val="21"/>
                <w:szCs w:val="21"/>
              </w:rPr>
              <w:t>9</w:t>
            </w:r>
            <w:r>
              <w:rPr>
                <w:rFonts w:hint="eastAsia" w:cs="宋体" w:asciiTheme="majorEastAsia" w:hAnsiTheme="majorEastAsia" w:eastAsiaTheme="majorEastAsia"/>
                <w:kern w:val="0"/>
                <w:sz w:val="21"/>
                <w:szCs w:val="21"/>
                <w:lang w:val="en-US" w:eastAsia="zh-CN"/>
              </w:rPr>
              <w:t>0</w:t>
            </w:r>
            <w:r>
              <w:rPr>
                <w:rFonts w:hint="eastAsia" w:cs="宋体" w:asciiTheme="majorEastAsia" w:hAnsiTheme="majorEastAsia" w:eastAsiaTheme="majorEastAsia"/>
                <w:kern w:val="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76" w:type="dxa"/>
            <w:gridSpan w:val="6"/>
            <w:tcBorders>
              <w:top w:val="nil"/>
              <w:left w:val="nil"/>
              <w:bottom w:val="nil"/>
              <w:right w:val="nil"/>
            </w:tcBorders>
            <w:vAlign w:val="center"/>
          </w:tcPr>
          <w:p>
            <w:pPr>
              <w:rPr>
                <w:sz w:val="21"/>
                <w:szCs w:val="21"/>
              </w:rPr>
            </w:pPr>
          </w:p>
        </w:tc>
        <w:tc>
          <w:tcPr>
            <w:tcW w:w="2760" w:type="dxa"/>
            <w:tcBorders>
              <w:left w:val="nil"/>
              <w:bottom w:val="nil"/>
              <w:right w:val="nil"/>
            </w:tcBorders>
            <w:vAlign w:val="center"/>
          </w:tcPr>
          <w:p>
            <w:pPr>
              <w:rPr>
                <w:sz w:val="21"/>
                <w:szCs w:val="21"/>
              </w:rPr>
            </w:pPr>
          </w:p>
        </w:tc>
      </w:tr>
    </w:tbl>
    <w:p>
      <w:pPr>
        <w:tabs>
          <w:tab w:val="left" w:pos="6396"/>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1"/>
          <w:szCs w:val="21"/>
        </w:rPr>
        <w:t xml:space="preserve">填表人: </w:t>
      </w:r>
      <w:r>
        <w:rPr>
          <w:rFonts w:hint="eastAsia" w:asciiTheme="majorEastAsia" w:hAnsiTheme="majorEastAsia" w:eastAsiaTheme="majorEastAsia" w:cstheme="majorEastAsia"/>
          <w:sz w:val="21"/>
          <w:szCs w:val="21"/>
          <w:lang w:eastAsia="zh-CN"/>
        </w:rPr>
        <w:t>阳水平</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 xml:space="preserve">13762478176  </w:t>
      </w:r>
      <w:r>
        <w:rPr>
          <w:rFonts w:hint="eastAsia" w:asciiTheme="majorEastAsia" w:hAnsiTheme="majorEastAsia" w:eastAsiaTheme="majorEastAsia" w:cstheme="majorEastAsia"/>
          <w:sz w:val="21"/>
          <w:szCs w:val="21"/>
        </w:rPr>
        <w:t>填报日期:2022年4月18日  单位负责人签字:</w:t>
      </w:r>
    </w:p>
    <w:sectPr>
      <w:headerReference r:id="rId3" w:type="default"/>
      <w:headerReference r:id="rId4" w:type="even"/>
      <w:pgSz w:w="11906" w:h="16838"/>
      <w:pgMar w:top="1690" w:right="1800" w:bottom="1068"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jNmQxYjM4ZTM0ZjAwY2E5MzIxZDk1YTRhNGQ1OTQifQ=="/>
  </w:docVars>
  <w:rsids>
    <w:rsidRoot w:val="25E26C38"/>
    <w:rsid w:val="00001143"/>
    <w:rsid w:val="000052DA"/>
    <w:rsid w:val="000160F2"/>
    <w:rsid w:val="00027FAC"/>
    <w:rsid w:val="00072CBE"/>
    <w:rsid w:val="000818D2"/>
    <w:rsid w:val="00090312"/>
    <w:rsid w:val="000A6EFA"/>
    <w:rsid w:val="000E5A8E"/>
    <w:rsid w:val="000F5A7F"/>
    <w:rsid w:val="00113796"/>
    <w:rsid w:val="00124047"/>
    <w:rsid w:val="001361A2"/>
    <w:rsid w:val="00182529"/>
    <w:rsid w:val="001B0339"/>
    <w:rsid w:val="001C72E8"/>
    <w:rsid w:val="001D2C4A"/>
    <w:rsid w:val="00207CDE"/>
    <w:rsid w:val="00223B6F"/>
    <w:rsid w:val="00233354"/>
    <w:rsid w:val="002A6E72"/>
    <w:rsid w:val="002B0263"/>
    <w:rsid w:val="002B383A"/>
    <w:rsid w:val="002C3D34"/>
    <w:rsid w:val="002D7B6E"/>
    <w:rsid w:val="002F1DD9"/>
    <w:rsid w:val="00300958"/>
    <w:rsid w:val="00337256"/>
    <w:rsid w:val="00347984"/>
    <w:rsid w:val="0036568E"/>
    <w:rsid w:val="0036587B"/>
    <w:rsid w:val="003719D7"/>
    <w:rsid w:val="00375752"/>
    <w:rsid w:val="00376875"/>
    <w:rsid w:val="003816D4"/>
    <w:rsid w:val="003D46BE"/>
    <w:rsid w:val="003D522E"/>
    <w:rsid w:val="003E56DC"/>
    <w:rsid w:val="003F1A9B"/>
    <w:rsid w:val="00405B07"/>
    <w:rsid w:val="00417146"/>
    <w:rsid w:val="0042716F"/>
    <w:rsid w:val="00443B41"/>
    <w:rsid w:val="00493ADF"/>
    <w:rsid w:val="004A755D"/>
    <w:rsid w:val="00513A1E"/>
    <w:rsid w:val="00536079"/>
    <w:rsid w:val="00553F16"/>
    <w:rsid w:val="005572DF"/>
    <w:rsid w:val="0056357C"/>
    <w:rsid w:val="005743C5"/>
    <w:rsid w:val="005879A8"/>
    <w:rsid w:val="00597CCF"/>
    <w:rsid w:val="005A0D96"/>
    <w:rsid w:val="005B3370"/>
    <w:rsid w:val="005B33C3"/>
    <w:rsid w:val="005C51F5"/>
    <w:rsid w:val="005D2493"/>
    <w:rsid w:val="0062672F"/>
    <w:rsid w:val="00655C38"/>
    <w:rsid w:val="006818DC"/>
    <w:rsid w:val="00685F67"/>
    <w:rsid w:val="006C7A6F"/>
    <w:rsid w:val="006D4D5C"/>
    <w:rsid w:val="006F4433"/>
    <w:rsid w:val="00701522"/>
    <w:rsid w:val="00710012"/>
    <w:rsid w:val="00741FF7"/>
    <w:rsid w:val="00761DD6"/>
    <w:rsid w:val="00786454"/>
    <w:rsid w:val="007D35DF"/>
    <w:rsid w:val="007E716B"/>
    <w:rsid w:val="00821E18"/>
    <w:rsid w:val="00833039"/>
    <w:rsid w:val="00875097"/>
    <w:rsid w:val="00890907"/>
    <w:rsid w:val="00893F83"/>
    <w:rsid w:val="00903461"/>
    <w:rsid w:val="00910C55"/>
    <w:rsid w:val="00917409"/>
    <w:rsid w:val="0093177A"/>
    <w:rsid w:val="00943243"/>
    <w:rsid w:val="0094482C"/>
    <w:rsid w:val="009C0400"/>
    <w:rsid w:val="009C31EF"/>
    <w:rsid w:val="009D3CD0"/>
    <w:rsid w:val="009D4090"/>
    <w:rsid w:val="009E24D9"/>
    <w:rsid w:val="009F0CD0"/>
    <w:rsid w:val="00A03AB4"/>
    <w:rsid w:val="00A1590C"/>
    <w:rsid w:val="00A20A10"/>
    <w:rsid w:val="00A655C2"/>
    <w:rsid w:val="00A769F2"/>
    <w:rsid w:val="00A849A1"/>
    <w:rsid w:val="00A8687A"/>
    <w:rsid w:val="00A92A49"/>
    <w:rsid w:val="00AA6E90"/>
    <w:rsid w:val="00AD3449"/>
    <w:rsid w:val="00AE4970"/>
    <w:rsid w:val="00AF52B0"/>
    <w:rsid w:val="00B120A0"/>
    <w:rsid w:val="00B20153"/>
    <w:rsid w:val="00B376D4"/>
    <w:rsid w:val="00B4321C"/>
    <w:rsid w:val="00BA24C4"/>
    <w:rsid w:val="00BD0A76"/>
    <w:rsid w:val="00BF140C"/>
    <w:rsid w:val="00C13C6C"/>
    <w:rsid w:val="00C178BB"/>
    <w:rsid w:val="00C17929"/>
    <w:rsid w:val="00C2218E"/>
    <w:rsid w:val="00C6445D"/>
    <w:rsid w:val="00C73DA9"/>
    <w:rsid w:val="00C84485"/>
    <w:rsid w:val="00CA0B19"/>
    <w:rsid w:val="00CB3A54"/>
    <w:rsid w:val="00CE6C65"/>
    <w:rsid w:val="00D108F7"/>
    <w:rsid w:val="00D16AFA"/>
    <w:rsid w:val="00D366A9"/>
    <w:rsid w:val="00D46DD8"/>
    <w:rsid w:val="00D942BB"/>
    <w:rsid w:val="00DB4393"/>
    <w:rsid w:val="00DB767A"/>
    <w:rsid w:val="00DC566F"/>
    <w:rsid w:val="00DD74CB"/>
    <w:rsid w:val="00DD7999"/>
    <w:rsid w:val="00DE1D9C"/>
    <w:rsid w:val="00DE7CD4"/>
    <w:rsid w:val="00DF3A5C"/>
    <w:rsid w:val="00E03359"/>
    <w:rsid w:val="00E30E0A"/>
    <w:rsid w:val="00E43FD6"/>
    <w:rsid w:val="00E61378"/>
    <w:rsid w:val="00E73CF5"/>
    <w:rsid w:val="00E80AB1"/>
    <w:rsid w:val="00E92CBF"/>
    <w:rsid w:val="00EB3DEA"/>
    <w:rsid w:val="00EC31CE"/>
    <w:rsid w:val="00EE5361"/>
    <w:rsid w:val="00EF22F6"/>
    <w:rsid w:val="00EF42F7"/>
    <w:rsid w:val="00F839A3"/>
    <w:rsid w:val="00FB0384"/>
    <w:rsid w:val="00FD2AAB"/>
    <w:rsid w:val="00FE677E"/>
    <w:rsid w:val="076E386F"/>
    <w:rsid w:val="136161BB"/>
    <w:rsid w:val="15D34C6B"/>
    <w:rsid w:val="186C16C7"/>
    <w:rsid w:val="1ECD0271"/>
    <w:rsid w:val="25E26C38"/>
    <w:rsid w:val="2AB437C3"/>
    <w:rsid w:val="2EB5420C"/>
    <w:rsid w:val="2EFC24FA"/>
    <w:rsid w:val="3F047715"/>
    <w:rsid w:val="4A3A3E6E"/>
    <w:rsid w:val="4DBE5EA9"/>
    <w:rsid w:val="57957CCC"/>
    <w:rsid w:val="5E746F04"/>
    <w:rsid w:val="6CBD1E1F"/>
    <w:rsid w:val="71BD102D"/>
    <w:rsid w:val="7BF92C58"/>
    <w:rsid w:val="7E5D7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2615-3731-4C69-A43A-4CBF74BA2931}">
  <ds:schemaRefs/>
</ds:datastoreItem>
</file>

<file path=docProps/app.xml><?xml version="1.0" encoding="utf-8"?>
<Properties xmlns="http://schemas.openxmlformats.org/officeDocument/2006/extended-properties" xmlns:vt="http://schemas.openxmlformats.org/officeDocument/2006/docPropsVTypes">
  <Template>Normal</Template>
  <Pages>2</Pages>
  <Words>1114</Words>
  <Characters>1183</Characters>
  <Lines>8</Lines>
  <Paragraphs>2</Paragraphs>
  <TotalTime>1</TotalTime>
  <ScaleCrop>false</ScaleCrop>
  <LinksUpToDate>false</LinksUpToDate>
  <CharactersWithSpaces>1190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2021-04-25T01:45:00Z</dcterms:created>
  <dc:creator>Administrator</dc:creator>
  <cp:lastModifiedBy>蒋阔</cp:lastModifiedBy>
  <cp:lastPrinted>2021-05-14T01:42:00Z</cp:lastPrinted>
  <dcterms:modified xsi:type="dcterms:W3CDTF">2025-09-03T01:02:49Z</dcterms:modified>
  <cp:revision>494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7089030D5D65482C9F26FA8A8647C485</vt:lpwstr>
  </property>
</Properties>
</file>