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D78D4C9">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6F87E494">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4B58FF7F">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304E7D2F">
      <w:pPr>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4E2549F1">
      <w:pPr>
        <w:adjustRightInd w:val="0"/>
        <w:snapToGrid w:val="0"/>
        <w:jc w:val="center"/>
        <w:outlineLvl w:val="0"/>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pPr>
      <w:bookmarkStart w:id="0" w:name="_Toc19978"/>
      <w:r>
        <w:rPr>
          <w:rFonts w:hint="default" w:ascii="Times New Roman" w:hAnsi="Times New Roman" w:eastAsia="方正小标宋_GBK" w:cs="Times New Roman"/>
          <w:bCs/>
          <w:color w:val="000000" w:themeColor="text1"/>
          <w:sz w:val="72"/>
          <w:szCs w:val="72"/>
          <w:highlight w:val="none"/>
          <w14:textFill>
            <w14:solidFill>
              <w14:schemeClr w14:val="tx1"/>
            </w14:solidFill>
          </w14:textFill>
        </w:rPr>
        <w:t>建设项目环境影响报告表</w:t>
      </w:r>
      <w:bookmarkEnd w:id="0"/>
    </w:p>
    <w:p w14:paraId="0792828A">
      <w:pPr>
        <w:adjustRightInd w:val="0"/>
        <w:snapToGrid w:val="0"/>
        <w:spacing w:before="192" w:beforeLines="80"/>
        <w:jc w:val="center"/>
        <w:rPr>
          <w:rFonts w:hint="default" w:ascii="Times New Roman" w:hAnsi="Times New Roman" w:eastAsia="楷体_GB2312" w:cs="Times New Roman"/>
          <w:bCs/>
          <w:color w:val="000000" w:themeColor="text1"/>
          <w:sz w:val="48"/>
          <w:szCs w:val="48"/>
          <w:highlight w:val="none"/>
          <w14:textFill>
            <w14:solidFill>
              <w14:schemeClr w14:val="tx1"/>
            </w14:solidFill>
          </w14:textFill>
        </w:rPr>
      </w:pPr>
      <w:r>
        <w:rPr>
          <w:rFonts w:hint="default" w:ascii="Times New Roman" w:hAnsi="Times New Roman" w:eastAsia="楷体_GB2312" w:cs="Times New Roman"/>
          <w:bCs/>
          <w:color w:val="000000" w:themeColor="text1"/>
          <w:sz w:val="48"/>
          <w:szCs w:val="48"/>
          <w:highlight w:val="none"/>
          <w14:textFill>
            <w14:solidFill>
              <w14:schemeClr w14:val="tx1"/>
            </w14:solidFill>
          </w14:textFill>
        </w:rPr>
        <w:t>（污染影响类）</w:t>
      </w:r>
    </w:p>
    <w:p w14:paraId="1AA68F66">
      <w:pPr>
        <w:adjustRightInd w:val="0"/>
        <w:snapToGrid w:val="0"/>
        <w:spacing w:line="288" w:lineRule="auto"/>
        <w:jc w:val="center"/>
        <w:rPr>
          <w:rFonts w:hint="default" w:ascii="Times New Roman" w:hAnsi="Times New Roman" w:eastAsia="华文仿宋" w:cs="Times New Roman"/>
          <w:color w:val="000000" w:themeColor="text1"/>
          <w:kern w:val="44"/>
          <w:sz w:val="44"/>
          <w:szCs w:val="44"/>
          <w:highlight w:val="none"/>
          <w14:textFill>
            <w14:solidFill>
              <w14:schemeClr w14:val="tx1"/>
            </w14:solidFill>
          </w14:textFill>
        </w:rPr>
      </w:pPr>
    </w:p>
    <w:p w14:paraId="02D7F66E">
      <w:pPr>
        <w:jc w:val="center"/>
        <w:rPr>
          <w:rFonts w:hint="default" w:ascii="Times New Roman" w:hAnsi="Times New Roman" w:eastAsia="仿宋" w:cs="Times New Roman"/>
          <w:color w:val="000000" w:themeColor="text1"/>
          <w:sz w:val="52"/>
          <w:szCs w:val="52"/>
          <w:highlight w:val="none"/>
          <w14:textFill>
            <w14:solidFill>
              <w14:schemeClr w14:val="tx1"/>
            </w14:solidFill>
          </w14:textFill>
        </w:rPr>
      </w:pPr>
    </w:p>
    <w:p w14:paraId="32157A2E">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7CFD1498">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140C12EB">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2E3E730D">
      <w:pPr>
        <w:ind w:firstLine="1040"/>
        <w:rPr>
          <w:rFonts w:hint="default" w:ascii="Times New Roman" w:hAnsi="Times New Roman" w:eastAsia="仿宋" w:cs="Times New Roman"/>
          <w:color w:val="000000" w:themeColor="text1"/>
          <w:sz w:val="44"/>
          <w:szCs w:val="44"/>
          <w:highlight w:val="none"/>
          <w14:textFill>
            <w14:solidFill>
              <w14:schemeClr w14:val="tx1"/>
            </w14:solidFill>
          </w14:textFill>
        </w:rPr>
      </w:pPr>
    </w:p>
    <w:p w14:paraId="2CD07D9C">
      <w:pPr>
        <w:adjustRightInd w:val="0"/>
        <w:snapToGrid w:val="0"/>
        <w:spacing w:line="288" w:lineRule="auto"/>
        <w:rPr>
          <w:rFonts w:hint="default" w:ascii="Times New Roman" w:hAnsi="Times New Roman" w:eastAsia="仿宋" w:cs="Times New Roman"/>
          <w:bCs/>
          <w:color w:val="000000" w:themeColor="text1"/>
          <w:sz w:val="36"/>
          <w:szCs w:val="36"/>
          <w:highlight w:val="none"/>
          <w:u w:val="single"/>
          <w14:textFill>
            <w14:solidFill>
              <w14:schemeClr w14:val="tx1"/>
            </w14:solidFill>
          </w14:textFill>
        </w:rPr>
      </w:pPr>
      <w:bookmarkStart w:id="1" w:name="_Hlk57884087"/>
      <w:r>
        <w:rPr>
          <w:rFonts w:hint="default" w:ascii="Times New Roman" w:hAnsi="Times New Roman" w:eastAsia="仿宋" w:cs="Times New Roman"/>
          <w:color w:val="000000" w:themeColor="text1"/>
          <w:sz w:val="36"/>
          <w:szCs w:val="36"/>
          <w:highlight w:val="none"/>
          <w14:textFill>
            <w14:solidFill>
              <w14:schemeClr w14:val="tx1"/>
            </w14:solidFill>
          </w14:textFill>
        </w:rPr>
        <w:t>项目名称：</w:t>
      </w:r>
      <w:r>
        <w:rPr>
          <w:rFonts w:hint="default" w:ascii="Times New Roman" w:hAnsi="Times New Roman" w:eastAsia="仿宋" w:cs="Times New Roman"/>
          <w:bCs/>
          <w:color w:val="000000" w:themeColor="text1"/>
          <w:sz w:val="32"/>
          <w:szCs w:val="32"/>
          <w:highlight w:val="none"/>
          <w:u w:val="single"/>
          <w14:textFill>
            <w14:solidFill>
              <w14:schemeClr w14:val="tx1"/>
            </w14:solidFill>
          </w14:textFill>
        </w:rPr>
        <w:t>年产7000吨工程机械结构件</w:t>
      </w:r>
      <w:r>
        <w:rPr>
          <w:rFonts w:hint="default" w:ascii="Times New Roman" w:hAnsi="Times New Roman" w:eastAsia="仿宋" w:cs="Times New Roman"/>
          <w:bCs/>
          <w:color w:val="000000" w:themeColor="text1"/>
          <w:sz w:val="32"/>
          <w:szCs w:val="32"/>
          <w:highlight w:val="none"/>
          <w:u w:val="single"/>
          <w14:textFill>
            <w14:solidFill>
              <w14:schemeClr w14:val="tx1"/>
            </w14:solidFill>
          </w14:textFill>
        </w:rPr>
        <w:t>改扩建</w:t>
      </w:r>
      <w:r>
        <w:rPr>
          <w:rFonts w:hint="default" w:ascii="Times New Roman" w:hAnsi="Times New Roman" w:eastAsia="仿宋" w:cs="Times New Roman"/>
          <w:bCs/>
          <w:color w:val="000000" w:themeColor="text1"/>
          <w:sz w:val="32"/>
          <w:szCs w:val="32"/>
          <w:highlight w:val="none"/>
          <w:u w:val="single"/>
          <w14:textFill>
            <w14:solidFill>
              <w14:schemeClr w14:val="tx1"/>
            </w14:solidFill>
          </w14:textFill>
        </w:rPr>
        <w:t>及喷漆废气深度治理项目</w:t>
      </w:r>
    </w:p>
    <w:p w14:paraId="556F92E0">
      <w:pPr>
        <w:adjustRightInd w:val="0"/>
        <w:snapToGrid w:val="0"/>
        <w:spacing w:line="288" w:lineRule="auto"/>
        <w:rPr>
          <w:rFonts w:hint="default" w:ascii="Times New Roman" w:hAnsi="Times New Roman" w:eastAsia="仿宋" w:cs="Times New Roman"/>
          <w:color w:val="000000" w:themeColor="text1"/>
          <w:sz w:val="36"/>
          <w:szCs w:val="36"/>
          <w:highlight w:val="none"/>
          <w:u w:val="single"/>
          <w14:textFill>
            <w14:solidFill>
              <w14:schemeClr w14:val="tx1"/>
            </w14:solidFill>
          </w14:textFill>
        </w:rPr>
      </w:pPr>
      <w:r>
        <w:rPr>
          <w:rFonts w:hint="default" w:ascii="Times New Roman" w:hAnsi="Times New Roman" w:eastAsia="仿宋" w:cs="Times New Roman"/>
          <w:bCs/>
          <w:color w:val="000000" w:themeColor="text1"/>
          <w:sz w:val="36"/>
          <w:szCs w:val="36"/>
          <w:highlight w:val="none"/>
          <w14:textFill>
            <w14:solidFill>
              <w14:schemeClr w14:val="tx1"/>
            </w14:solidFill>
          </w14:textFill>
        </w:rPr>
        <w:t>建设单位（盖章）：</w:t>
      </w:r>
      <w:r>
        <w:rPr>
          <w:rFonts w:hint="default" w:ascii="Times New Roman" w:hAnsi="Times New Roman" w:eastAsia="仿宋" w:cs="Times New Roman"/>
          <w:bCs/>
          <w:color w:val="000000" w:themeColor="text1"/>
          <w:sz w:val="36"/>
          <w:szCs w:val="36"/>
          <w:highlight w:val="none"/>
          <w:u w:val="single"/>
          <w14:textFill>
            <w14:solidFill>
              <w14:schemeClr w14:val="tx1"/>
            </w14:solidFill>
          </w14:textFill>
        </w:rPr>
        <w:t xml:space="preserve">  </w:t>
      </w:r>
      <w:r>
        <w:rPr>
          <w:rFonts w:hint="default" w:ascii="Times New Roman" w:hAnsi="Times New Roman" w:eastAsia="仿宋" w:cs="Times New Roman"/>
          <w:bCs/>
          <w:color w:val="000000" w:themeColor="text1"/>
          <w:sz w:val="32"/>
          <w:szCs w:val="32"/>
          <w:highlight w:val="none"/>
          <w:u w:val="single"/>
          <w14:textFill>
            <w14:solidFill>
              <w14:schemeClr w14:val="tx1"/>
            </w14:solidFill>
          </w14:textFill>
        </w:rPr>
        <w:t xml:space="preserve">衡阳市朝阳重机有限公司  </w:t>
      </w:r>
      <w:r>
        <w:rPr>
          <w:rFonts w:hint="default" w:ascii="Times New Roman" w:hAnsi="Times New Roman" w:eastAsia="仿宋" w:cs="Times New Roman"/>
          <w:color w:val="000000" w:themeColor="text1"/>
          <w:sz w:val="36"/>
          <w:szCs w:val="36"/>
          <w:highlight w:val="none"/>
          <w:u w:val="single"/>
          <w14:textFill>
            <w14:solidFill>
              <w14:schemeClr w14:val="tx1"/>
            </w14:solidFill>
          </w14:textFill>
        </w:rPr>
        <w:t xml:space="preserve"> </w:t>
      </w:r>
    </w:p>
    <w:p w14:paraId="346286F9">
      <w:pPr>
        <w:adjustRightInd w:val="0"/>
        <w:snapToGrid w:val="0"/>
        <w:spacing w:line="288" w:lineRule="auto"/>
        <w:rPr>
          <w:rFonts w:hint="default" w:ascii="Times New Roman" w:hAnsi="Times New Roman" w:eastAsia="仿宋" w:cs="Times New Roman"/>
          <w:color w:val="000000" w:themeColor="text1"/>
          <w:sz w:val="36"/>
          <w:szCs w:val="36"/>
          <w:highlight w:val="none"/>
          <w:u w:val="single"/>
          <w14:textFill>
            <w14:solidFill>
              <w14:schemeClr w14:val="tx1"/>
            </w14:solidFill>
          </w14:textFill>
        </w:rPr>
      </w:pPr>
      <w:r>
        <w:rPr>
          <w:rFonts w:hint="default" w:ascii="Times New Roman" w:hAnsi="Times New Roman" w:eastAsia="仿宋" w:cs="Times New Roman"/>
          <w:color w:val="000000" w:themeColor="text1"/>
          <w:sz w:val="36"/>
          <w:szCs w:val="36"/>
          <w:highlight w:val="none"/>
          <w14:textFill>
            <w14:solidFill>
              <w14:schemeClr w14:val="tx1"/>
            </w14:solidFill>
          </w14:textFill>
        </w:rPr>
        <w:t>编制日期：</w:t>
      </w:r>
      <w:r>
        <w:rPr>
          <w:rFonts w:hint="default" w:ascii="Times New Roman" w:hAnsi="Times New Roman" w:eastAsia="仿宋" w:cs="Times New Roman"/>
          <w:color w:val="000000" w:themeColor="text1"/>
          <w:sz w:val="36"/>
          <w:szCs w:val="36"/>
          <w:highlight w:val="none"/>
          <w:u w:val="single"/>
          <w14:textFill>
            <w14:solidFill>
              <w14:schemeClr w14:val="tx1"/>
            </w14:solidFill>
          </w14:textFill>
        </w:rPr>
        <w:t xml:space="preserve">              </w:t>
      </w:r>
      <w:r>
        <w:rPr>
          <w:rFonts w:hint="default" w:ascii="Times New Roman" w:hAnsi="Times New Roman" w:eastAsia="仿宋" w:cs="Times New Roman"/>
          <w:color w:val="000000" w:themeColor="text1"/>
          <w:sz w:val="32"/>
          <w:szCs w:val="32"/>
          <w:highlight w:val="none"/>
          <w:u w:val="single"/>
          <w14:textFill>
            <w14:solidFill>
              <w14:schemeClr w14:val="tx1"/>
            </w14:solidFill>
          </w14:textFill>
        </w:rPr>
        <w:t>2025.</w:t>
      </w:r>
      <w:r>
        <w:rPr>
          <w:rFonts w:hint="default" w:ascii="Times New Roman" w:hAnsi="Times New Roman" w:eastAsia="仿宋" w:cs="Times New Roman"/>
          <w:color w:val="000000" w:themeColor="text1"/>
          <w:sz w:val="32"/>
          <w:szCs w:val="32"/>
          <w:highlight w:val="none"/>
          <w:u w:val="single"/>
          <w14:textFill>
            <w14:solidFill>
              <w14:schemeClr w14:val="tx1"/>
            </w14:solidFill>
          </w14:textFill>
        </w:rPr>
        <w:t>4</w:t>
      </w:r>
      <w:r>
        <w:rPr>
          <w:rFonts w:hint="default" w:ascii="Times New Roman" w:hAnsi="Times New Roman" w:eastAsia="仿宋" w:cs="Times New Roman"/>
          <w:color w:val="000000" w:themeColor="text1"/>
          <w:sz w:val="32"/>
          <w:szCs w:val="32"/>
          <w:highlight w:val="none"/>
          <w:u w:val="single"/>
          <w14:textFill>
            <w14:solidFill>
              <w14:schemeClr w14:val="tx1"/>
            </w14:solidFill>
          </w14:textFill>
        </w:rPr>
        <w:t xml:space="preserve">  </w:t>
      </w:r>
      <w:r>
        <w:rPr>
          <w:rFonts w:hint="default" w:ascii="Times New Roman" w:hAnsi="Times New Roman" w:eastAsia="仿宋" w:cs="Times New Roman"/>
          <w:color w:val="000000" w:themeColor="text1"/>
          <w:sz w:val="36"/>
          <w:szCs w:val="36"/>
          <w:highlight w:val="none"/>
          <w:u w:val="single"/>
          <w14:textFill>
            <w14:solidFill>
              <w14:schemeClr w14:val="tx1"/>
            </w14:solidFill>
          </w14:textFill>
        </w:rPr>
        <w:t xml:space="preserve">            </w:t>
      </w:r>
    </w:p>
    <w:p w14:paraId="42E0D201">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45E53825">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05A7BDBC">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0F26840E">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53A4CDC0">
      <w:pPr>
        <w:adjustRightInd w:val="0"/>
        <w:snapToGrid w:val="0"/>
        <w:spacing w:line="288" w:lineRule="auto"/>
        <w:ind w:firstLine="10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bookmarkEnd w:id="1"/>
    <w:p w14:paraId="74760F38">
      <w:pPr>
        <w:adjustRightInd w:val="0"/>
        <w:snapToGrid w:val="0"/>
        <w:spacing w:line="288" w:lineRule="auto"/>
        <w:jc w:val="center"/>
        <w:rPr>
          <w:rFonts w:hint="default" w:ascii="Times New Roman" w:hAnsi="Times New Roman" w:eastAsia="楷体_GB2312" w:cs="Times New Roman"/>
          <w:color w:val="000000" w:themeColor="text1"/>
          <w:sz w:val="36"/>
          <w:szCs w:val="36"/>
          <w:highlight w:val="none"/>
          <w14:textFill>
            <w14:solidFill>
              <w14:schemeClr w14:val="tx1"/>
            </w14:solidFill>
          </w14:textFill>
        </w:rPr>
      </w:pPr>
      <w:r>
        <w:rPr>
          <w:rFonts w:hint="default" w:ascii="Times New Roman" w:hAnsi="Times New Roman" w:eastAsia="楷体_GB2312" w:cs="Times New Roman"/>
          <w:color w:val="000000" w:themeColor="text1"/>
          <w:sz w:val="36"/>
          <w:szCs w:val="36"/>
          <w:highlight w:val="none"/>
          <w14:textFill>
            <w14:solidFill>
              <w14:schemeClr w14:val="tx1"/>
            </w14:solidFill>
          </w14:textFill>
        </w:rPr>
        <w:t>中华人民共和国生态环境部制</w:t>
      </w:r>
    </w:p>
    <w:p w14:paraId="7032DAB1">
      <w:pPr>
        <w:pStyle w:val="40"/>
        <w:rPr>
          <w:rFonts w:hint="default" w:ascii="Times New Roman" w:hAnsi="Times New Roman" w:eastAsia="仿宋_GB2312" w:cs="Times New Roman"/>
          <w:color w:val="000000" w:themeColor="text1"/>
          <w:sz w:val="36"/>
          <w:szCs w:val="36"/>
          <w:highlight w:val="none"/>
          <w14:textFill>
            <w14:solidFill>
              <w14:schemeClr w14:val="tx1"/>
            </w14:solidFill>
          </w14:textFill>
        </w:rPr>
      </w:pPr>
    </w:p>
    <w:p w14:paraId="69FCA22C">
      <w:pPr>
        <w:rPr>
          <w:rFonts w:hint="default" w:ascii="Times New Roman" w:hAnsi="Times New Roman" w:cs="Times New Roman"/>
          <w:color w:val="000000" w:themeColor="text1"/>
          <w:highlight w:val="none"/>
          <w14:textFill>
            <w14:solidFill>
              <w14:schemeClr w14:val="tx1"/>
            </w14:solidFill>
          </w14:textFill>
        </w:rPr>
      </w:pPr>
    </w:p>
    <w:p w14:paraId="1BE66527">
      <w:pPr>
        <w:pStyle w:val="40"/>
        <w:rPr>
          <w:rFonts w:hint="default" w:ascii="Times New Roman" w:hAnsi="Times New Roman" w:cs="Times New Roman"/>
          <w:color w:val="000000" w:themeColor="text1"/>
          <w:highlight w:val="none"/>
          <w14:textFill>
            <w14:solidFill>
              <w14:schemeClr w14:val="tx1"/>
            </w14:solidFill>
          </w14:textFill>
        </w:rPr>
      </w:pPr>
    </w:p>
    <w:p w14:paraId="70C3439C">
      <w:pPr>
        <w:pStyle w:val="40"/>
        <w:rPr>
          <w:rFonts w:hint="default" w:ascii="Times New Roman" w:hAnsi="Times New Roman" w:cs="Times New Roman"/>
          <w:color w:val="000000" w:themeColor="text1"/>
          <w:highlight w:val="none"/>
          <w14:textFill>
            <w14:solidFill>
              <w14:schemeClr w14:val="tx1"/>
            </w14:solidFill>
          </w14:textFill>
        </w:rPr>
      </w:pPr>
    </w:p>
    <w:p w14:paraId="0E05AB97">
      <w:pPr>
        <w:pStyle w:val="40"/>
        <w:rPr>
          <w:rFonts w:hint="default" w:ascii="Times New Roman" w:hAnsi="Times New Roman" w:cs="Times New Roman"/>
          <w:color w:val="000000" w:themeColor="text1"/>
          <w:highlight w:val="none"/>
          <w14:textFill>
            <w14:solidFill>
              <w14:schemeClr w14:val="tx1"/>
            </w14:solidFill>
          </w14:textFill>
        </w:rPr>
      </w:pPr>
    </w:p>
    <w:p w14:paraId="0A947356">
      <w:pPr>
        <w:pStyle w:val="40"/>
        <w:jc w:val="center"/>
        <w:rPr>
          <w:rFonts w:hint="default" w:ascii="Times New Roman" w:hAnsi="Times New Roman" w:eastAsia="黑体" w:cs="Times New Roman"/>
          <w:b/>
          <w:bCs/>
          <w:color w:val="000000" w:themeColor="text1"/>
          <w:sz w:val="30"/>
          <w:szCs w:val="30"/>
          <w:highlight w:val="none"/>
          <w14:textFill>
            <w14:solidFill>
              <w14:schemeClr w14:val="tx1"/>
            </w14:solidFill>
          </w14:textFill>
        </w:rPr>
      </w:pPr>
      <w:r>
        <w:rPr>
          <w:rFonts w:hint="default" w:ascii="Times New Roman" w:hAnsi="Times New Roman" w:eastAsia="黑体" w:cs="Times New Roman"/>
          <w:b/>
          <w:bCs/>
          <w:color w:val="000000" w:themeColor="text1"/>
          <w:sz w:val="30"/>
          <w:szCs w:val="30"/>
          <w:highlight w:val="none"/>
          <w14:textFill>
            <w14:solidFill>
              <w14:schemeClr w14:val="tx1"/>
            </w14:solidFill>
          </w14:textFill>
        </w:rPr>
        <w:t>目  录</w:t>
      </w:r>
    </w:p>
    <w:p w14:paraId="7C19558C">
      <w:pPr>
        <w:pStyle w:val="40"/>
        <w:rPr>
          <w:rFonts w:hint="default" w:ascii="Times New Roman" w:hAnsi="Times New Roman" w:cs="Times New Roman"/>
          <w:color w:val="000000" w:themeColor="text1"/>
          <w:highlight w:val="none"/>
          <w14:textFill>
            <w14:solidFill>
              <w14:schemeClr w14:val="tx1"/>
            </w14:solidFill>
          </w14:textFill>
        </w:rPr>
      </w:pPr>
    </w:p>
    <w:p w14:paraId="72F3DB9C">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TOC \o "1-2" \h \u </w:instrText>
      </w:r>
      <w:r>
        <w:rPr>
          <w:rFonts w:hint="default" w:ascii="Times New Roman" w:hAnsi="Times New Roman" w:cs="Times New Roman"/>
          <w:color w:val="000000" w:themeColor="text1"/>
          <w:highlight w:val="none"/>
          <w14:textFill>
            <w14:solidFill>
              <w14:schemeClr w14:val="tx1"/>
            </w14:solidFill>
          </w14:textFill>
        </w:rPr>
        <w:fldChar w:fldCharType="separate"/>
      </w:r>
    </w:p>
    <w:p w14:paraId="103CE457">
      <w:pPr>
        <w:pStyle w:val="28"/>
        <w:tabs>
          <w:tab w:val="right" w:leader="dot" w:pos="8844"/>
        </w:tabs>
        <w:spacing w:line="360" w:lineRule="auto"/>
        <w:rPr>
          <w:rFonts w:hint="default" w:ascii="Times New Roman" w:hAnsi="Times New Roman" w:eastAsia="黑体" w:cs="Times New Roman"/>
          <w:snapToGrid w:val="0"/>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"_Toc24328"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一、建设项目基本情况</w:t>
      </w:r>
      <w:r>
        <w:rPr>
          <w:rFonts w:hint="default" w:ascii="Times New Roman" w:hAnsi="Times New Roman" w:eastAsia="黑体" w:cs="Times New Roman"/>
          <w:snapToGrid w:val="0"/>
          <w:color w:val="000000" w:themeColor="text1"/>
          <w:sz w:val="24"/>
          <w:highlight w:val="none"/>
          <w14:textFill>
            <w14:solidFill>
              <w14:schemeClr w14:val="tx1"/>
            </w14:solidFill>
          </w14:textFill>
        </w:rPr>
        <w:tab/>
      </w:r>
      <w:r>
        <w:rPr>
          <w:rFonts w:hint="default" w:ascii="Times New Roman" w:hAnsi="Times New Roman" w:eastAsia="黑体" w:cs="Times New Roman"/>
          <w:snapToGrid w:val="0"/>
          <w:color w:val="000000" w:themeColor="text1"/>
          <w:sz w:val="24"/>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z w:val="24"/>
          <w:highlight w:val="none"/>
          <w14:textFill>
            <w14:solidFill>
              <w14:schemeClr w14:val="tx1"/>
            </w14:solidFill>
          </w14:textFill>
        </w:rPr>
        <w:instrText xml:space="preserve"> PAGEREF _Toc24328 \h </w:instrText>
      </w:r>
      <w:r>
        <w:rPr>
          <w:rFonts w:hint="default" w:ascii="Times New Roman" w:hAnsi="Times New Roman" w:eastAsia="黑体" w:cs="Times New Roman"/>
          <w:snapToGrid w:val="0"/>
          <w:color w:val="000000" w:themeColor="text1"/>
          <w:sz w:val="24"/>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1</w:t>
      </w:r>
      <w:r>
        <w:rPr>
          <w:rFonts w:hint="default" w:ascii="Times New Roman" w:hAnsi="Times New Roman" w:eastAsia="黑体" w:cs="Times New Roman"/>
          <w:snapToGrid w:val="0"/>
          <w:color w:val="000000" w:themeColor="text1"/>
          <w:sz w:val="24"/>
          <w:highlight w:val="none"/>
          <w14:textFill>
            <w14:solidFill>
              <w14:schemeClr w14:val="tx1"/>
            </w14:solidFill>
          </w14:textFill>
        </w:rPr>
        <w:fldChar w:fldCharType="end"/>
      </w:r>
      <w:r>
        <w:rPr>
          <w:rFonts w:hint="default" w:ascii="Times New Roman" w:hAnsi="Times New Roman" w:eastAsia="黑体" w:cs="Times New Roman"/>
          <w:snapToGrid w:val="0"/>
          <w:color w:val="000000" w:themeColor="text1"/>
          <w:sz w:val="24"/>
          <w:highlight w:val="none"/>
          <w14:textFill>
            <w14:solidFill>
              <w14:schemeClr w14:val="tx1"/>
            </w14:solidFill>
          </w14:textFill>
        </w:rPr>
        <w:fldChar w:fldCharType="end"/>
      </w:r>
    </w:p>
    <w:p w14:paraId="0B108A0B">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"_Toc4288"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二、建设项目工程分析</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_Toc4288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17</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148C7076">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"_Toc17144"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三、区域环境质量现状、环境保护目标及评价标准</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_Toc17144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48</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6AC315A3">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"_Toc8089"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四、主要环境影响和保护措施</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_Toc8089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58</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592205F3">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"_Toc2460"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五、环境保护措施监督检查清单</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_Toc2460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104</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094B1F29">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"_Toc29620"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六、结论</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_Toc29620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106</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21F7203E">
      <w:pPr>
        <w:pStyle w:val="28"/>
        <w:tabs>
          <w:tab w:val="right" w:leader="dot" w:pos="8844"/>
        </w:tabs>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"_Toc1426"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z w:val="24"/>
          <w:highlight w:val="none"/>
          <w14:textFill>
            <w14:solidFill>
              <w14:schemeClr w14:val="tx1"/>
            </w14:solidFill>
          </w14:textFill>
        </w:rPr>
        <w:t>附表</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_Toc1426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107</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209CB4C8">
      <w:pPr>
        <w:pStyle w:val="28"/>
        <w:tabs>
          <w:tab w:val="right" w:leader="dot" w:pos="8844"/>
        </w:tabs>
        <w:spacing w:line="360" w:lineRule="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\l "_Toc31927"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eastAsia="方正小标宋_GBK" w:cs="Times New Roman"/>
          <w:snapToGrid w:val="0"/>
          <w:color w:val="000000" w:themeColor="text1"/>
          <w:sz w:val="24"/>
          <w:highlight w:val="none"/>
          <w14:textFill>
            <w14:solidFill>
              <w14:schemeClr w14:val="tx1"/>
            </w14:solidFill>
          </w14:textFill>
        </w:rPr>
        <w:t>建设项目污染物排放量汇总表</w:t>
      </w:r>
      <w:r>
        <w:rPr>
          <w:rFonts w:hint="default" w:ascii="Times New Roman" w:hAnsi="Times New Roman" w:cs="Times New Roman"/>
          <w:color w:val="000000" w:themeColor="text1"/>
          <w:sz w:val="24"/>
          <w:highlight w:val="none"/>
          <w14:textFill>
            <w14:solidFill>
              <w14:schemeClr w14:val="tx1"/>
            </w14:solidFill>
          </w14:textFill>
        </w:rPr>
        <w:tab/>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PAGEREF _Toc31927 \h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107</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fldChar w:fldCharType="end"/>
      </w:r>
    </w:p>
    <w:p w14:paraId="36D0105C">
      <w:pPr>
        <w:pStyle w:val="40"/>
        <w:rPr>
          <w:rFonts w:hint="default" w:ascii="Times New Roman" w:hAnsi="Times New Roman" w:cs="Times New Roman"/>
          <w:color w:val="000000" w:themeColor="text1"/>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r>
        <w:rPr>
          <w:rFonts w:hint="default" w:ascii="Times New Roman" w:hAnsi="Times New Roman" w:cs="Times New Roman"/>
          <w:color w:val="000000" w:themeColor="text1"/>
          <w:highlight w:val="none"/>
          <w14:textFill>
            <w14:solidFill>
              <w14:schemeClr w14:val="tx1"/>
            </w14:solidFill>
          </w14:textFill>
        </w:rPr>
        <w:fldChar w:fldCharType="end"/>
      </w:r>
      <w:bookmarkStart w:id="132" w:name="_GoBack"/>
    </w:p>
    <w:bookmarkEnd w:id="132"/>
    <w:p w14:paraId="671059A2">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2" w:name="_Toc79418988"/>
      <w:bookmarkStart w:id="3" w:name="_Toc18789"/>
      <w:bookmarkStart w:id="4" w:name="_Toc8328"/>
      <w:bookmarkStart w:id="5" w:name="_Toc24328"/>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一、建设项目基本情况</w:t>
      </w:r>
      <w:bookmarkEnd w:id="2"/>
      <w:bookmarkEnd w:id="3"/>
      <w:bookmarkEnd w:id="4"/>
      <w:bookmarkEnd w:id="5"/>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27"/>
        <w:gridCol w:w="1956"/>
        <w:gridCol w:w="2467"/>
        <w:gridCol w:w="3320"/>
      </w:tblGrid>
      <w:tr w14:paraId="6FD1A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794B8F3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建设项目名称</w:t>
            </w:r>
          </w:p>
        </w:tc>
        <w:tc>
          <w:tcPr>
            <w:tcW w:w="7743" w:type="dxa"/>
            <w:gridSpan w:val="3"/>
            <w:vAlign w:val="center"/>
          </w:tcPr>
          <w:p w14:paraId="62C30CD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年产7000吨工程机械结构件改扩建及喷漆废气深度治理项目</w:t>
            </w:r>
          </w:p>
        </w:tc>
      </w:tr>
      <w:tr w14:paraId="757D14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5A258512">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项目代码</w:t>
            </w:r>
          </w:p>
        </w:tc>
        <w:tc>
          <w:tcPr>
            <w:tcW w:w="7743" w:type="dxa"/>
            <w:gridSpan w:val="3"/>
            <w:vAlign w:val="center"/>
          </w:tcPr>
          <w:p w14:paraId="6C6EE611">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p>
        </w:tc>
      </w:tr>
      <w:tr w14:paraId="7BDF87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5A97F680">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建设单位联系人</w:t>
            </w:r>
          </w:p>
        </w:tc>
        <w:tc>
          <w:tcPr>
            <w:tcW w:w="1956" w:type="dxa"/>
            <w:vAlign w:val="center"/>
          </w:tcPr>
          <w:p w14:paraId="12D86DD6">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陈海春</w:t>
            </w:r>
          </w:p>
        </w:tc>
        <w:tc>
          <w:tcPr>
            <w:tcW w:w="2467" w:type="dxa"/>
            <w:vAlign w:val="center"/>
          </w:tcPr>
          <w:p w14:paraId="13FA5C59">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联系方式</w:t>
            </w:r>
          </w:p>
        </w:tc>
        <w:tc>
          <w:tcPr>
            <w:tcW w:w="3320" w:type="dxa"/>
            <w:vAlign w:val="center"/>
          </w:tcPr>
          <w:p w14:paraId="06B57F41">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13875676968</w:t>
            </w:r>
          </w:p>
        </w:tc>
      </w:tr>
      <w:tr w14:paraId="696CA6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4960FDA0">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建设地点</w:t>
            </w:r>
          </w:p>
        </w:tc>
        <w:tc>
          <w:tcPr>
            <w:tcW w:w="7743" w:type="dxa"/>
            <w:gridSpan w:val="3"/>
            <w:vAlign w:val="center"/>
          </w:tcPr>
          <w:p w14:paraId="28EEBA45">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湖南省（自治区）衡阳市 衡东县（区） /乡（街道）大浦镇衡东经济开发区</w:t>
            </w:r>
            <w:r>
              <w:rPr>
                <w:rFonts w:hint="default" w:ascii="Times New Roman" w:hAnsi="Times New Roman" w:cs="Times New Roman"/>
                <w:color w:val="000000" w:themeColor="text1"/>
                <w:sz w:val="24"/>
                <w:highlight w:val="none"/>
                <w14:textFill>
                  <w14:solidFill>
                    <w14:schemeClr w14:val="tx1"/>
                  </w14:solidFill>
                </w14:textFill>
              </w:rPr>
              <w:t>宁国路</w:t>
            </w:r>
            <w:r>
              <w:rPr>
                <w:rFonts w:hint="default" w:ascii="Times New Roman" w:hAnsi="Times New Roman" w:cs="Times New Roman"/>
                <w:color w:val="000000" w:themeColor="text1"/>
                <w:sz w:val="24"/>
                <w:highlight w:val="none"/>
                <w14:textFill>
                  <w14:solidFill>
                    <w14:schemeClr w14:val="tx1"/>
                  </w14:solidFill>
                </w14:textFill>
              </w:rPr>
              <w:t>（具体地址）</w:t>
            </w:r>
          </w:p>
        </w:tc>
      </w:tr>
      <w:tr w14:paraId="6D05AC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2" w:hRule="atLeast"/>
          <w:jc w:val="center"/>
        </w:trPr>
        <w:tc>
          <w:tcPr>
            <w:tcW w:w="1127" w:type="dxa"/>
            <w:tcMar>
              <w:top w:w="16" w:type="dxa"/>
              <w:left w:w="16" w:type="dxa"/>
              <w:right w:w="16" w:type="dxa"/>
            </w:tcMar>
            <w:vAlign w:val="center"/>
          </w:tcPr>
          <w:p w14:paraId="082B61B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地理坐标</w:t>
            </w:r>
          </w:p>
        </w:tc>
        <w:tc>
          <w:tcPr>
            <w:tcW w:w="7743" w:type="dxa"/>
            <w:gridSpan w:val="3"/>
            <w:vAlign w:val="center"/>
          </w:tcPr>
          <w:p w14:paraId="03519D21">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 112 度 49分00.827秒， 26度 59分42.749秒）</w:t>
            </w:r>
          </w:p>
        </w:tc>
      </w:tr>
      <w:tr w14:paraId="0FD6D7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127" w:type="dxa"/>
            <w:tcMar>
              <w:top w:w="16" w:type="dxa"/>
              <w:left w:w="16" w:type="dxa"/>
              <w:right w:w="16" w:type="dxa"/>
            </w:tcMar>
            <w:vAlign w:val="center"/>
          </w:tcPr>
          <w:p w14:paraId="0DA6E10C">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国民经济</w:t>
            </w:r>
          </w:p>
          <w:p w14:paraId="56143DE2">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行业类别</w:t>
            </w:r>
          </w:p>
        </w:tc>
        <w:tc>
          <w:tcPr>
            <w:tcW w:w="1956" w:type="dxa"/>
            <w:vAlign w:val="center"/>
          </w:tcPr>
          <w:p w14:paraId="6196ED9A">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C3311金属结构制造</w:t>
            </w:r>
          </w:p>
        </w:tc>
        <w:tc>
          <w:tcPr>
            <w:tcW w:w="2467" w:type="dxa"/>
            <w:vAlign w:val="center"/>
          </w:tcPr>
          <w:p w14:paraId="7626195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建设项目</w:t>
            </w:r>
          </w:p>
          <w:p w14:paraId="2EA7FE9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行业类别</w:t>
            </w:r>
          </w:p>
        </w:tc>
        <w:tc>
          <w:tcPr>
            <w:tcW w:w="3320" w:type="dxa"/>
            <w:vAlign w:val="center"/>
          </w:tcPr>
          <w:p w14:paraId="7DDFDAB9">
            <w:pPr>
              <w:adjustRightInd w:val="0"/>
              <w:snapToGrid w:val="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三十-66结构性金属制品制造;金属工具制造331-其他</w:t>
            </w:r>
          </w:p>
        </w:tc>
      </w:tr>
      <w:tr w14:paraId="089380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127" w:type="dxa"/>
            <w:tcMar>
              <w:top w:w="16" w:type="dxa"/>
              <w:left w:w="16" w:type="dxa"/>
              <w:right w:w="16" w:type="dxa"/>
            </w:tcMar>
            <w:vAlign w:val="center"/>
          </w:tcPr>
          <w:p w14:paraId="40182F3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建设性质</w:t>
            </w:r>
          </w:p>
        </w:tc>
        <w:tc>
          <w:tcPr>
            <w:tcW w:w="1956" w:type="dxa"/>
            <w:vAlign w:val="center"/>
          </w:tcPr>
          <w:p w14:paraId="7AD90A07">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sym w:font="Wingdings 2" w:char="00A3"/>
            </w:r>
            <w:r>
              <w:rPr>
                <w:rFonts w:hint="default" w:ascii="Times New Roman" w:hAnsi="Times New Roman" w:cs="Times New Roman"/>
                <w:color w:val="000000" w:themeColor="text1"/>
                <w:sz w:val="24"/>
                <w:highlight w:val="none"/>
                <w14:textFill>
                  <w14:solidFill>
                    <w14:schemeClr w14:val="tx1"/>
                  </w14:solidFill>
                </w14:textFill>
              </w:rPr>
              <w:t>新建（迁建）</w:t>
            </w:r>
          </w:p>
          <w:p w14:paraId="7362AAB2">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改建</w:t>
            </w:r>
          </w:p>
          <w:p w14:paraId="2B3B6E1E">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扩建</w:t>
            </w:r>
          </w:p>
          <w:p w14:paraId="21FC4DB1">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技术改造</w:t>
            </w:r>
          </w:p>
        </w:tc>
        <w:tc>
          <w:tcPr>
            <w:tcW w:w="2467" w:type="dxa"/>
            <w:vAlign w:val="center"/>
          </w:tcPr>
          <w:p w14:paraId="673D3C24">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建设项目</w:t>
            </w:r>
          </w:p>
          <w:p w14:paraId="33391DC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申报情形</w:t>
            </w:r>
          </w:p>
        </w:tc>
        <w:tc>
          <w:tcPr>
            <w:tcW w:w="3320" w:type="dxa"/>
            <w:vAlign w:val="center"/>
          </w:tcPr>
          <w:p w14:paraId="31390A74">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sym w:font="Wingdings 2" w:char="0052"/>
            </w:r>
            <w:r>
              <w:rPr>
                <w:rFonts w:hint="default" w:ascii="Times New Roman" w:hAnsi="Times New Roman" w:cs="Times New Roman"/>
                <w:color w:val="000000" w:themeColor="text1"/>
                <w:sz w:val="24"/>
                <w:highlight w:val="none"/>
                <w14:textFill>
                  <w14:solidFill>
                    <w14:schemeClr w14:val="tx1"/>
                  </w14:solidFill>
                </w14:textFill>
              </w:rPr>
              <w:t xml:space="preserve">首次申报项目             </w:t>
            </w:r>
          </w:p>
          <w:p w14:paraId="7452DAD4">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□不予批准后再次申报项目</w:t>
            </w:r>
          </w:p>
          <w:p w14:paraId="29A1FD4A">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sym w:font="Wingdings 2" w:char="00A3"/>
            </w:r>
            <w:r>
              <w:rPr>
                <w:rFonts w:hint="default" w:ascii="Times New Roman" w:hAnsi="Times New Roman" w:cs="Times New Roman"/>
                <w:color w:val="000000" w:themeColor="text1"/>
                <w:sz w:val="24"/>
                <w:highlight w:val="none"/>
                <w14:textFill>
                  <w14:solidFill>
                    <w14:schemeClr w14:val="tx1"/>
                  </w14:solidFill>
                </w14:textFill>
              </w:rPr>
              <w:t xml:space="preserve">超五年重新审核项目     </w:t>
            </w:r>
          </w:p>
          <w:p w14:paraId="467EC68A">
            <w:pPr>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□重大变动重新报批项目</w:t>
            </w:r>
          </w:p>
        </w:tc>
      </w:tr>
      <w:tr w14:paraId="0A6375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127" w:type="dxa"/>
            <w:tcMar>
              <w:top w:w="16" w:type="dxa"/>
              <w:left w:w="16" w:type="dxa"/>
              <w:right w:w="16" w:type="dxa"/>
            </w:tcMar>
            <w:vAlign w:val="center"/>
          </w:tcPr>
          <w:p w14:paraId="1DC8301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项目审批（核准/</w:t>
            </w:r>
          </w:p>
          <w:p w14:paraId="23EAD04F">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备案）部门（选填）</w:t>
            </w:r>
          </w:p>
        </w:tc>
        <w:tc>
          <w:tcPr>
            <w:tcW w:w="1956" w:type="dxa"/>
            <w:vAlign w:val="center"/>
          </w:tcPr>
          <w:p w14:paraId="02461F46">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p>
        </w:tc>
        <w:tc>
          <w:tcPr>
            <w:tcW w:w="2467" w:type="dxa"/>
            <w:vAlign w:val="center"/>
          </w:tcPr>
          <w:p w14:paraId="572A7939">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项目审批（核准/</w:t>
            </w:r>
          </w:p>
          <w:p w14:paraId="137973C7">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备案）文号（选填）</w:t>
            </w:r>
          </w:p>
        </w:tc>
        <w:tc>
          <w:tcPr>
            <w:tcW w:w="3320" w:type="dxa"/>
            <w:vAlign w:val="center"/>
          </w:tcPr>
          <w:p w14:paraId="355B4B45">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p>
        </w:tc>
      </w:tr>
      <w:tr w14:paraId="50DA7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24ABFEB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总投资（万元）</w:t>
            </w:r>
          </w:p>
        </w:tc>
        <w:tc>
          <w:tcPr>
            <w:tcW w:w="1956" w:type="dxa"/>
            <w:vAlign w:val="center"/>
          </w:tcPr>
          <w:p w14:paraId="75585F64">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821</w:t>
            </w:r>
          </w:p>
        </w:tc>
        <w:tc>
          <w:tcPr>
            <w:tcW w:w="2467" w:type="dxa"/>
            <w:tcMar>
              <w:top w:w="16" w:type="dxa"/>
              <w:left w:w="16" w:type="dxa"/>
              <w:right w:w="16" w:type="dxa"/>
            </w:tcMar>
            <w:vAlign w:val="center"/>
          </w:tcPr>
          <w:p w14:paraId="5A506B26">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环保投资（万元）</w:t>
            </w:r>
          </w:p>
        </w:tc>
        <w:tc>
          <w:tcPr>
            <w:tcW w:w="3320" w:type="dxa"/>
            <w:vAlign w:val="center"/>
          </w:tcPr>
          <w:p w14:paraId="5A2B7954">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286</w:t>
            </w:r>
          </w:p>
        </w:tc>
      </w:tr>
      <w:tr w14:paraId="6052A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67AB2BFE">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环保投资占比（%）</w:t>
            </w:r>
          </w:p>
        </w:tc>
        <w:tc>
          <w:tcPr>
            <w:tcW w:w="1956" w:type="dxa"/>
            <w:vAlign w:val="center"/>
          </w:tcPr>
          <w:p w14:paraId="2CC3A091">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34.8</w:t>
            </w:r>
          </w:p>
        </w:tc>
        <w:tc>
          <w:tcPr>
            <w:tcW w:w="2467" w:type="dxa"/>
            <w:tcMar>
              <w:top w:w="16" w:type="dxa"/>
              <w:left w:w="16" w:type="dxa"/>
              <w:right w:w="16" w:type="dxa"/>
            </w:tcMar>
            <w:vAlign w:val="center"/>
          </w:tcPr>
          <w:p w14:paraId="67F3A6BA">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施工工期</w:t>
            </w:r>
          </w:p>
        </w:tc>
        <w:tc>
          <w:tcPr>
            <w:tcW w:w="3320" w:type="dxa"/>
            <w:vAlign w:val="center"/>
          </w:tcPr>
          <w:p w14:paraId="0950156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3个月</w:t>
            </w:r>
          </w:p>
        </w:tc>
      </w:tr>
      <w:tr w14:paraId="6C9582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127" w:type="dxa"/>
            <w:tcMar>
              <w:top w:w="16" w:type="dxa"/>
              <w:left w:w="16" w:type="dxa"/>
              <w:right w:w="16" w:type="dxa"/>
            </w:tcMar>
            <w:vAlign w:val="center"/>
          </w:tcPr>
          <w:p w14:paraId="5CE93CDE">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是否开工建设</w:t>
            </w:r>
          </w:p>
        </w:tc>
        <w:tc>
          <w:tcPr>
            <w:tcW w:w="1956" w:type="dxa"/>
            <w:vAlign w:val="center"/>
          </w:tcPr>
          <w:p w14:paraId="7AD0FE91">
            <w:pPr>
              <w:adjustRightInd w:val="0"/>
              <w:snapToGrid w:val="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sym w:font="Wingdings 2" w:char="0052"/>
            </w:r>
            <w:r>
              <w:rPr>
                <w:rFonts w:hint="default" w:ascii="Times New Roman" w:hAnsi="Times New Roman" w:cs="Times New Roman"/>
                <w:color w:val="000000" w:themeColor="text1"/>
                <w:sz w:val="24"/>
                <w:highlight w:val="none"/>
                <w14:textFill>
                  <w14:solidFill>
                    <w14:schemeClr w14:val="tx1"/>
                  </w14:solidFill>
                </w14:textFill>
              </w:rPr>
              <w:t>否</w:t>
            </w:r>
          </w:p>
          <w:p w14:paraId="3EC2EC6C">
            <w:pPr>
              <w:adjustRightInd w:val="0"/>
              <w:snapToGrid w:val="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sym w:font="Wingdings 2" w:char="00A3"/>
            </w:r>
            <w:r>
              <w:rPr>
                <w:rFonts w:hint="default" w:ascii="Times New Roman" w:hAnsi="Times New Roman" w:cs="Times New Roman"/>
                <w:color w:val="000000" w:themeColor="text1"/>
                <w:sz w:val="24"/>
                <w:highlight w:val="none"/>
                <w14:textFill>
                  <w14:solidFill>
                    <w14:schemeClr w14:val="tx1"/>
                  </w14:solidFill>
                </w14:textFill>
              </w:rPr>
              <w:t xml:space="preserve">是：             </w:t>
            </w:r>
          </w:p>
        </w:tc>
        <w:tc>
          <w:tcPr>
            <w:tcW w:w="2467" w:type="dxa"/>
            <w:tcMar>
              <w:top w:w="16" w:type="dxa"/>
              <w:left w:w="16" w:type="dxa"/>
              <w:right w:w="16" w:type="dxa"/>
            </w:tcMar>
            <w:vAlign w:val="center"/>
          </w:tcPr>
          <w:p w14:paraId="56F4CCDD">
            <w:pPr>
              <w:adjustRightInd w:val="0"/>
              <w:snapToGrid w:val="0"/>
              <w:jc w:val="center"/>
              <w:rPr>
                <w:rFonts w:hint="default" w:ascii="Times New Roman" w:hAnsi="Times New Roman" w:cs="Times New Roman"/>
                <w:color w:val="000000" w:themeColor="text1"/>
                <w:spacing w:val="-6"/>
                <w:sz w:val="24"/>
                <w:highlight w:val="none"/>
                <w14:textFill>
                  <w14:solidFill>
                    <w14:schemeClr w14:val="tx1"/>
                  </w14:solidFill>
                </w14:textFill>
              </w:rPr>
            </w:pPr>
            <w:r>
              <w:rPr>
                <w:rFonts w:hint="default" w:ascii="Times New Roman" w:hAnsi="Times New Roman" w:cs="Times New Roman"/>
                <w:color w:val="000000" w:themeColor="text1"/>
                <w:spacing w:val="-6"/>
                <w:sz w:val="24"/>
                <w:highlight w:val="none"/>
                <w14:textFill>
                  <w14:solidFill>
                    <w14:schemeClr w14:val="tx1"/>
                  </w14:solidFill>
                </w14:textFill>
              </w:rPr>
              <w:t>用地（用海）</w:t>
            </w:r>
          </w:p>
          <w:p w14:paraId="08642E21">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6"/>
                <w:sz w:val="24"/>
                <w:highlight w:val="none"/>
                <w14:textFill>
                  <w14:solidFill>
                    <w14:schemeClr w14:val="tx1"/>
                  </w14:solidFill>
                </w14:textFill>
              </w:rPr>
              <w:t>面积（m</w:t>
            </w:r>
            <w:r>
              <w:rPr>
                <w:rFonts w:hint="default" w:ascii="Times New Roman" w:hAnsi="Times New Roman" w:cs="Times New Roman"/>
                <w:color w:val="000000" w:themeColor="text1"/>
                <w:spacing w:val="-6"/>
                <w:sz w:val="24"/>
                <w:highlight w:val="none"/>
                <w:vertAlign w:val="superscript"/>
                <w14:textFill>
                  <w14:solidFill>
                    <w14:schemeClr w14:val="tx1"/>
                  </w14:solidFill>
                </w14:textFill>
              </w:rPr>
              <w:t>2</w:t>
            </w:r>
            <w:r>
              <w:rPr>
                <w:rFonts w:hint="default" w:ascii="Times New Roman" w:hAnsi="Times New Roman" w:cs="Times New Roman"/>
                <w:color w:val="000000" w:themeColor="text1"/>
                <w:spacing w:val="-6"/>
                <w:sz w:val="24"/>
                <w:highlight w:val="none"/>
                <w14:textFill>
                  <w14:solidFill>
                    <w14:schemeClr w14:val="tx1"/>
                  </w14:solidFill>
                </w14:textFill>
              </w:rPr>
              <w:t>）</w:t>
            </w:r>
          </w:p>
        </w:tc>
        <w:tc>
          <w:tcPr>
            <w:tcW w:w="3320" w:type="dxa"/>
            <w:vAlign w:val="center"/>
          </w:tcPr>
          <w:p w14:paraId="064A546D">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/（现有厂区）</w:t>
            </w:r>
          </w:p>
        </w:tc>
      </w:tr>
      <w:tr w14:paraId="1129A7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27" w:type="dxa"/>
            <w:vAlign w:val="center"/>
          </w:tcPr>
          <w:p w14:paraId="3EAB5696">
            <w:pPr>
              <w:autoSpaceDE w:val="0"/>
              <w:autoSpaceDN w:val="0"/>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专项评价设置情况</w:t>
            </w:r>
          </w:p>
        </w:tc>
        <w:tc>
          <w:tcPr>
            <w:tcW w:w="7743" w:type="dxa"/>
            <w:gridSpan w:val="3"/>
            <w:vAlign w:val="center"/>
          </w:tcPr>
          <w:p w14:paraId="4E2589F0">
            <w:pPr>
              <w:autoSpaceDE w:val="0"/>
              <w:autoSpaceDN w:val="0"/>
              <w:adjustRightInd w:val="0"/>
              <w:snapToGrid w:val="0"/>
              <w:spacing w:line="360" w:lineRule="auto"/>
              <w:ind w:firstLine="480" w:firstLineChars="20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无</w:t>
            </w:r>
          </w:p>
        </w:tc>
      </w:tr>
      <w:tr w14:paraId="4BD1C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27" w:type="dxa"/>
            <w:vAlign w:val="center"/>
          </w:tcPr>
          <w:p w14:paraId="05F9DEDD">
            <w:pPr>
              <w:autoSpaceDE w:val="0"/>
              <w:autoSpaceDN w:val="0"/>
              <w:adjustRightInd w:val="0"/>
              <w:snapToGrid w:val="0"/>
              <w:spacing w:line="360" w:lineRule="auto"/>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规划</w:t>
            </w:r>
          </w:p>
          <w:p w14:paraId="5DE7688D">
            <w:pPr>
              <w:autoSpaceDE w:val="0"/>
              <w:autoSpaceDN w:val="0"/>
              <w:adjustRightInd w:val="0"/>
              <w:snapToGrid w:val="0"/>
              <w:spacing w:line="360" w:lineRule="auto"/>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情况</w:t>
            </w:r>
          </w:p>
        </w:tc>
        <w:tc>
          <w:tcPr>
            <w:tcW w:w="7743" w:type="dxa"/>
            <w:gridSpan w:val="3"/>
            <w:vAlign w:val="center"/>
          </w:tcPr>
          <w:p w14:paraId="11A2BFC5">
            <w:pPr>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规划名称：湖南衡东经济开发区产业发展规划修编（2022-2030）</w:t>
            </w:r>
          </w:p>
          <w:p w14:paraId="2BA3942D">
            <w:pPr>
              <w:pStyle w:val="40"/>
              <w:tabs>
                <w:tab w:val="left" w:pos="1021"/>
              </w:tabs>
              <w:adjustRightInd/>
              <w:spacing w:line="360" w:lineRule="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审批机关：衡东县人民政府</w:t>
            </w:r>
          </w:p>
          <w:p w14:paraId="3D78513F">
            <w:pPr>
              <w:pStyle w:val="18"/>
              <w:spacing w:before="0" w:after="0" w:line="360" w:lineRule="auto"/>
              <w:ind w:right="0"/>
              <w:jc w:val="left"/>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审批文件名称及文号：衡东县人民政府关于《湖南衡东经济开发区产业发展规划修编（2022-2030）》的批复（东政函[2023]8号）</w:t>
            </w:r>
          </w:p>
        </w:tc>
      </w:tr>
      <w:tr w14:paraId="70985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7" w:type="dxa"/>
            <w:vAlign w:val="center"/>
          </w:tcPr>
          <w:p w14:paraId="490BFA86">
            <w:pPr>
              <w:adjustRightInd w:val="0"/>
              <w:snapToGrid w:val="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规划环境影响</w:t>
            </w:r>
          </w:p>
          <w:p w14:paraId="6B96CAEE">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评价情况</w:t>
            </w:r>
          </w:p>
        </w:tc>
        <w:tc>
          <w:tcPr>
            <w:tcW w:w="7743" w:type="dxa"/>
            <w:gridSpan w:val="3"/>
            <w:vAlign w:val="center"/>
          </w:tcPr>
          <w:p w14:paraId="12F40E04">
            <w:pPr>
              <w:autoSpaceDE w:val="0"/>
              <w:autoSpaceDN w:val="0"/>
              <w:adjustRightInd w:val="0"/>
              <w:snapToGrid w:val="0"/>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规划环境影响评价文件名称：《湖南衡东经济开发区扩区规划环境影响报告书》；</w:t>
            </w:r>
          </w:p>
          <w:p w14:paraId="37CA652D">
            <w:pPr>
              <w:autoSpaceDE w:val="0"/>
              <w:autoSpaceDN w:val="0"/>
              <w:adjustRightInd w:val="0"/>
              <w:snapToGrid w:val="0"/>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召集审查机关：湖南省生态环境厅；</w:t>
            </w:r>
          </w:p>
          <w:p w14:paraId="6A985240">
            <w:pPr>
              <w:pStyle w:val="14"/>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审查文件名称及文号：《湖南衡东经济开发区调区扩区规划环境影响报告书》（湘环评函[2023]24号文）。</w:t>
            </w:r>
          </w:p>
        </w:tc>
      </w:tr>
      <w:tr w14:paraId="229BF4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1" w:hRule="atLeast"/>
          <w:jc w:val="center"/>
        </w:trPr>
        <w:tc>
          <w:tcPr>
            <w:tcW w:w="1127" w:type="dxa"/>
            <w:vAlign w:val="center"/>
          </w:tcPr>
          <w:p w14:paraId="1F868055">
            <w:pPr>
              <w:autoSpaceDE w:val="0"/>
              <w:autoSpaceDN w:val="0"/>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规划及规划环境影响评价符合性分析</w:t>
            </w:r>
          </w:p>
        </w:tc>
        <w:tc>
          <w:tcPr>
            <w:tcW w:w="7743" w:type="dxa"/>
            <w:gridSpan w:val="3"/>
            <w:vAlign w:val="center"/>
          </w:tcPr>
          <w:p w14:paraId="05F6123A">
            <w:pPr>
              <w:autoSpaceDE w:val="0"/>
              <w:autoSpaceDN w:val="0"/>
              <w:adjustRightInd w:val="0"/>
              <w:snapToGrid w:val="0"/>
              <w:spacing w:line="360" w:lineRule="auto"/>
              <w:jc w:val="left"/>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1.与《湖南衡东经济开发区产业发展规划修编（2022-2030）》的批复符合性分析</w:t>
            </w:r>
          </w:p>
          <w:p w14:paraId="4C25EA46">
            <w:pPr>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项目位于衡东经济开发区，项目与《湖南衡东经济开发区产业发展规划修编（2022-2030）》的批复符合性分析见下表。</w:t>
            </w:r>
          </w:p>
          <w:p w14:paraId="659969E7">
            <w:pPr>
              <w:adjustRightInd w:val="0"/>
              <w:snapToGrid w:val="0"/>
              <w:jc w:val="center"/>
              <w:outlineLvl w:val="3"/>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表1-1  与《湖南衡东经济开发区产业发展规划修编（2022-2030）》的批复（东政函[2023]8号）符合性分析一览表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476"/>
              <w:gridCol w:w="4094"/>
              <w:gridCol w:w="1629"/>
              <w:gridCol w:w="837"/>
            </w:tblGrid>
            <w:tr w14:paraId="492C7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4980A107">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序号</w:t>
                  </w:r>
                </w:p>
              </w:tc>
              <w:tc>
                <w:tcPr>
                  <w:tcW w:w="317" w:type="pct"/>
                  <w:vAlign w:val="center"/>
                </w:tcPr>
                <w:p w14:paraId="66AE68C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类别</w:t>
                  </w:r>
                </w:p>
              </w:tc>
              <w:tc>
                <w:tcPr>
                  <w:tcW w:w="2724" w:type="pct"/>
                  <w:vAlign w:val="center"/>
                </w:tcPr>
                <w:p w14:paraId="4BF66EF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要求</w:t>
                  </w:r>
                </w:p>
              </w:tc>
              <w:tc>
                <w:tcPr>
                  <w:tcW w:w="1084" w:type="pct"/>
                  <w:vAlign w:val="center"/>
                </w:tcPr>
                <w:p w14:paraId="480BB6F2">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本项目情况</w:t>
                  </w:r>
                </w:p>
              </w:tc>
              <w:tc>
                <w:tcPr>
                  <w:tcW w:w="556" w:type="pct"/>
                  <w:vAlign w:val="center"/>
                </w:tcPr>
                <w:p w14:paraId="04764B1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符合性</w:t>
                  </w:r>
                </w:p>
              </w:tc>
            </w:tr>
            <w:tr w14:paraId="19211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4928BFF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317" w:type="pct"/>
                  <w:vAlign w:val="center"/>
                </w:tcPr>
                <w:p w14:paraId="3B5A67F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园区发展方向与定位</w:t>
                  </w:r>
                </w:p>
              </w:tc>
              <w:tc>
                <w:tcPr>
                  <w:tcW w:w="2724" w:type="pct"/>
                  <w:vAlign w:val="center"/>
                </w:tcPr>
                <w:p w14:paraId="165234E9">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以推动高质量发展为主题，加快建设现代化经济体系，加快适应以国内大循环为主体、国内国际双循环相互促进的新发展格局，深入贯彻省委“三高四新”战略定位和使命任务，以化学原料和化学制品制造为主导产业，以电气机械和器材制造为特色产业，以有色金属冶炼和压延加工、非金属矿物制品、医药制造为辅助产业，全面“提质创新”，力争把园区打造成为“国家级绿色化工示范园区、湖南省承接产业转移示范区、湘南先进制造业示范区”。</w:t>
                  </w:r>
                </w:p>
              </w:tc>
              <w:tc>
                <w:tcPr>
                  <w:tcW w:w="1084" w:type="pct"/>
                  <w:vAlign w:val="center"/>
                </w:tcPr>
                <w:p w14:paraId="6AC4968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本项目工程机械结构件，与园区发展定位不冲突。</w:t>
                  </w:r>
                </w:p>
              </w:tc>
              <w:tc>
                <w:tcPr>
                  <w:tcW w:w="556" w:type="pct"/>
                  <w:vAlign w:val="center"/>
                </w:tcPr>
                <w:p w14:paraId="12CE8DC3">
                  <w:pPr>
                    <w:adjustRightInd w:val="0"/>
                    <w:snapToGrid w:val="0"/>
                    <w:jc w:val="center"/>
                    <w:rPr>
                      <w:rFonts w:hint="default" w:ascii="Times New Roman" w:hAnsi="Times New Roman" w:cs="Times New Roman"/>
                      <w:color w:val="000000" w:themeColor="text1"/>
                      <w:spacing w:val="-6"/>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符合</w:t>
                  </w:r>
                </w:p>
              </w:tc>
            </w:tr>
            <w:tr w14:paraId="41E5E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264E355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317" w:type="pct"/>
                  <w:vAlign w:val="center"/>
                </w:tcPr>
                <w:p w14:paraId="2161D76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园区发展路径</w:t>
                  </w:r>
                </w:p>
              </w:tc>
              <w:tc>
                <w:tcPr>
                  <w:tcW w:w="2724" w:type="pct"/>
                  <w:vAlign w:val="center"/>
                </w:tcPr>
                <w:p w14:paraId="41904642">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按照“企业规模化、发展集约化、资源循环化”要求，分阶段推进衡东经开区产业发展。坚持走科技含量高、经济效益好、资源消耗低、环境污染少、人力资源充分发挥的新型工业化道路，全力推动化学原料和化学制品制造、电气机械和器材制造主导和特色产业集聚发展，努力形成结构优化、集群发展、特色鲜明的产业体系。</w:t>
                  </w:r>
                </w:p>
              </w:tc>
              <w:tc>
                <w:tcPr>
                  <w:tcW w:w="1084" w:type="pct"/>
                  <w:vAlign w:val="center"/>
                </w:tcPr>
                <w:p w14:paraId="56E4174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本项目工程机械结构件，布置在大浦工业园内。</w:t>
                  </w:r>
                </w:p>
              </w:tc>
              <w:tc>
                <w:tcPr>
                  <w:tcW w:w="556" w:type="pct"/>
                  <w:vAlign w:val="center"/>
                </w:tcPr>
                <w:p w14:paraId="075E260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0FBDB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2C72872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317" w:type="pct"/>
                  <w:vAlign w:val="center"/>
                </w:tcPr>
                <w:p w14:paraId="40B6A83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园区空间区域布局</w:t>
                  </w:r>
                </w:p>
              </w:tc>
              <w:tc>
                <w:tcPr>
                  <w:tcW w:w="2724" w:type="pct"/>
                  <w:vAlign w:val="center"/>
                </w:tcPr>
                <w:p w14:paraId="3A606521">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按照政府主导、统一规划、市场运作、设施配套、功能完善、产业分区的原则，规划布局“一区三园”，规划总用地面积为715.42公顷，其中包括大浦工业园面积626.49公顷（区块一面积 82.30公顷，四至范围为:东至平头桥工区，南至下毛粒山，西至宋桥村林场，北至宋桥村二十八组;区块二面积528.74公顷，四至范围为:东至三才村一组、堰桥村十九组，南至泉南高速公路，西至京广铁路以东100米处，北至上毛粒山;区块三面积15.45公顷，四至范围为:东至大明楼村,南至 X015县道以北100米处，西至白泥塘，北至浦泉村二组)﹔泵业智造产业园面积64.13公顷,四至范围为:东至龙奉村十三组，南至杨峰路，西至椒花坳，北至坪桥路;印章文化产业园面积24.80 公顷,四至范围为:东至国道240，南至乡道306,西至杨家台，北至金花村十三、十四组。</w:t>
                  </w:r>
                </w:p>
              </w:tc>
              <w:tc>
                <w:tcPr>
                  <w:tcW w:w="1084" w:type="pct"/>
                  <w:vAlign w:val="center"/>
                </w:tcPr>
                <w:p w14:paraId="1F14755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本项目位于大浦工业园范围内区域，用地为二类工业用地。</w:t>
                  </w:r>
                </w:p>
              </w:tc>
              <w:tc>
                <w:tcPr>
                  <w:tcW w:w="556" w:type="pct"/>
                  <w:vAlign w:val="center"/>
                </w:tcPr>
                <w:p w14:paraId="6EE62F9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bl>
          <w:p w14:paraId="7C05F789">
            <w:pPr>
              <w:autoSpaceDE w:val="0"/>
              <w:autoSpaceDN w:val="0"/>
              <w:adjustRightInd w:val="0"/>
              <w:snapToGrid w:val="0"/>
              <w:spacing w:line="360" w:lineRule="auto"/>
              <w:jc w:val="left"/>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2.与《湖南衡东经济开发区调区扩区规划环境影响报告书》</w:t>
            </w:r>
            <w:r>
              <w:rPr>
                <w:rFonts w:hint="default" w:ascii="Times New Roman" w:hAnsi="Times New Roman" w:cs="Times New Roman"/>
                <w:b/>
                <w:bCs/>
                <w:color w:val="000000" w:themeColor="text1"/>
                <w:kern w:val="0"/>
                <w:sz w:val="24"/>
                <w:highlight w:val="none"/>
                <w:lang w:val="en-US" w:eastAsia="zh-CN"/>
                <w14:textFill>
                  <w14:solidFill>
                    <w14:schemeClr w14:val="tx1"/>
                  </w14:solidFill>
                </w14:textFill>
              </w:rPr>
              <w:t>规划环评及</w:t>
            </w:r>
            <w:r>
              <w:rPr>
                <w:rFonts w:hint="default" w:ascii="Times New Roman" w:hAnsi="Times New Roman" w:cs="Times New Roman"/>
                <w:b/>
                <w:bCs/>
                <w:color w:val="000000" w:themeColor="text1"/>
                <w:kern w:val="0"/>
                <w:sz w:val="24"/>
                <w:highlight w:val="none"/>
                <w14:textFill>
                  <w14:solidFill>
                    <w14:schemeClr w14:val="tx1"/>
                  </w14:solidFill>
                </w14:textFill>
              </w:rPr>
              <w:t>审查意见符合性分析</w:t>
            </w:r>
          </w:p>
          <w:p w14:paraId="07889B94">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000000" w:themeColor="text1"/>
                <w:kern w:val="0"/>
                <w:sz w:val="24"/>
                <w:highlight w:val="none"/>
                <w:u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u w:val="none"/>
                <w:lang w:val="en-US" w:eastAsia="zh-CN"/>
                <w14:textFill>
                  <w14:solidFill>
                    <w14:schemeClr w14:val="tx1"/>
                  </w14:solidFill>
                </w14:textFill>
              </w:rPr>
              <w:t>（1）与规划环评相符性分析</w:t>
            </w:r>
          </w:p>
          <w:p w14:paraId="19B964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①</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定位符合性分析</w:t>
            </w:r>
          </w:p>
          <w:p w14:paraId="5D93FC3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衡阳湖南衡东经济开发区产业定位为：以生物医药、外贸加工和机械电子制造产业基地为主导产业，以农产品加工行业为辅导产业，配套物流及居民安置区，建立省级新型工业化示范基地，打造新型的省级经济开发区。</w:t>
            </w:r>
          </w:p>
          <w:p w14:paraId="7AA9D7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根据</w:t>
            </w:r>
            <w:r>
              <w:rPr>
                <w:rFonts w:hint="default" w:ascii="Times New Roman" w:hAnsi="Times New Roman" w:cs="Times New Roman"/>
                <w:color w:val="000000" w:themeColor="text1"/>
                <w:sz w:val="24"/>
                <w:szCs w:val="24"/>
                <w:highlight w:val="none"/>
                <w:u w:val="none"/>
                <w:lang w:val="en-US" w:bidi="ar-SA"/>
                <w14:textFill>
                  <w14:solidFill>
                    <w14:schemeClr w14:val="tx1"/>
                  </w14:solidFill>
                </w14:textFill>
              </w:rPr>
              <w:t>湖南衡东经济开发区环境准入行业清单</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限制类——大浦工业园中电气机械和器材制造</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片区</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：①鼓励类：C331 结构性金属制品制造；C332 金属工具制造；C335 建筑、安全用金属制品制造；C336金属表面处理及热处理加工；C338 金属制日用品制造；C339 铸造及其他金属制品制造；C34 通用设备制造业；C351 采矿、冶金、建筑专用设备制造；C357 农、林、牧、渔专用机械制造；C38 电气机械及器材制造业。②禁止类：1）涉重废水排放严格执行《湖南省湘江保护条例》要求；2）属于《限期淘汰产生严重污染环境的工业固体废物的落后生产工艺设备名录》的项目；3）禁止引进《产业结构调整指导目录（2021 年修订）》淘汰类工艺和设备的项目。</w:t>
            </w:r>
          </w:p>
          <w:p w14:paraId="102BA0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本项目所属行业为C331 结构性金属制品制造，符合大浦工业园电气机械和器材制造</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片区</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主导产业中的结构性金属制品制造产业，符合园区发展定位；本项目为通过对金属表面处理及热处理加工后组装成</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机械结构件</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，不属于园区的限制类和禁止类，符合衡阳湖南衡东经济开发区功能</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定位</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w:t>
            </w:r>
          </w:p>
          <w:p w14:paraId="06A35D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②</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功能布局符合性分析</w:t>
            </w:r>
          </w:p>
          <w:p w14:paraId="1CBCF7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衡阳湖南衡东经济开发区功能结构为“一心、二轴、三区、一组团”。</w:t>
            </w:r>
          </w:p>
          <w:p w14:paraId="5CCA93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一心：公共服务核心——承担开发区最重要的公共功能的区域。以建设商业、办公等片区各项公共服务设施为主，是最为突出地展示开发区中心形象的区域。</w:t>
            </w:r>
          </w:p>
          <w:p w14:paraId="345DC4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二轴：中心发展轴——顺济路及联胜路。是开发区发展的的中心轴，具有串接重要的城市公共服务功能与塑造城市景观的作用。</w:t>
            </w:r>
          </w:p>
          <w:p w14:paraId="0689BD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一组团：居住组团——承担开发区的安置及就业人口的居住区。</w:t>
            </w:r>
          </w:p>
          <w:p w14:paraId="5F52AC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三区：东部工业区、西部工业区、物流区。</w:t>
            </w:r>
          </w:p>
          <w:p w14:paraId="393A82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衡阳湖南衡东经济开发区</w:t>
            </w:r>
            <w:r>
              <w:rPr>
                <w:rFonts w:hint="default" w:ascii="Times New Roman" w:hAnsi="Times New Roman" w:cs="Times New Roman"/>
                <w:color w:val="000000" w:themeColor="text1"/>
                <w:sz w:val="24"/>
                <w:szCs w:val="24"/>
                <w:highlight w:val="none"/>
                <w:u w:val="none"/>
                <w:lang w:val="en-US" w:bidi="ar-SA"/>
                <w14:textFill>
                  <w14:solidFill>
                    <w14:schemeClr w14:val="tx1"/>
                  </w14:solidFill>
                </w14:textFill>
              </w:rPr>
              <w:t>大浦工业园位于衡东县大浦镇，规划范围为包括三个区块，本项目</w:t>
            </w:r>
            <w:r>
              <w:rPr>
                <w:rFonts w:hint="default" w:ascii="Times New Roman" w:hAnsi="Times New Roman" w:cs="Times New Roman"/>
                <w:color w:val="000000" w:themeColor="text1"/>
                <w:sz w:val="24"/>
                <w:szCs w:val="24"/>
                <w:highlight w:val="none"/>
                <w:u w:val="none"/>
                <w:lang w:val="en-US" w:bidi="ar-SA"/>
                <w14:textFill>
                  <w14:solidFill>
                    <w14:schemeClr w14:val="tx1"/>
                  </w14:solidFill>
                </w14:textFill>
              </w:rPr>
              <w:t>位于</w:t>
            </w:r>
            <w:r>
              <w:rPr>
                <w:rFonts w:hint="default" w:ascii="Times New Roman" w:hAnsi="Times New Roman" w:cs="Times New Roman"/>
                <w:color w:val="000000" w:themeColor="text1"/>
                <w:sz w:val="24"/>
                <w:szCs w:val="24"/>
                <w:highlight w:val="none"/>
                <w:u w:val="none"/>
                <w14:textFill>
                  <w14:solidFill>
                    <w14:schemeClr w14:val="tx1"/>
                  </w14:solidFill>
                </w14:textFill>
              </w:rPr>
              <w:t>衡阳市朝阳重机有限公司</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厂内，为</w:t>
            </w:r>
            <w:r>
              <w:rPr>
                <w:rFonts w:hint="default" w:ascii="Times New Roman" w:hAnsi="Times New Roman" w:cs="Times New Roman"/>
                <w:color w:val="000000" w:themeColor="text1"/>
                <w:sz w:val="24"/>
                <w:szCs w:val="24"/>
                <w:highlight w:val="none"/>
                <w:u w:val="none"/>
                <w:lang w:val="en-US" w:bidi="ar-SA"/>
                <w14:textFill>
                  <w14:solidFill>
                    <w14:schemeClr w14:val="tx1"/>
                  </w14:solidFill>
                </w14:textFill>
              </w:rPr>
              <w:t>二类工业用地，属于京广铁路以南大浦镇区以东区块的南部区域，规划为有色金属冶炼和延压加工、非金属矿物制品制造、通用设备制造；</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属于衡阳湖南衡东经济开发区的管理范围，符合园区功能布局。</w:t>
            </w:r>
          </w:p>
          <w:p w14:paraId="3469EC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③</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土地利用规划符合性分析</w:t>
            </w:r>
          </w:p>
          <w:p w14:paraId="7123ED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本</w:t>
            </w:r>
            <w:r>
              <w:rPr>
                <w:rFonts w:hint="default" w:ascii="Times New Roman" w:hAnsi="Times New Roman" w:cs="Times New Roman"/>
                <w:color w:val="000000" w:themeColor="text1"/>
                <w:sz w:val="24"/>
                <w:szCs w:val="24"/>
                <w:highlight w:val="none"/>
                <w:u w:val="none"/>
                <w14:textFill>
                  <w14:solidFill>
                    <w14:schemeClr w14:val="tx1"/>
                  </w14:solidFill>
                </w14:textFill>
              </w:rPr>
              <w:t>项目</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位于衡阳湖南衡东经济开发区大浦工业园</w:t>
            </w:r>
            <w:r>
              <w:rPr>
                <w:rFonts w:hint="default" w:ascii="Times New Roman" w:hAnsi="Times New Roman" w:cs="Times New Roman"/>
                <w:color w:val="000000" w:themeColor="text1"/>
                <w:sz w:val="24"/>
                <w:szCs w:val="24"/>
                <w:highlight w:val="none"/>
                <w:u w:val="none"/>
                <w:lang w:val="en-US" w:bidi="ar-SA"/>
                <w14:textFill>
                  <w14:solidFill>
                    <w14:schemeClr w14:val="tx1"/>
                  </w14:solidFill>
                </w14:textFill>
              </w:rPr>
              <w:t>京广铁路以南大浦镇区以东区块的南部区域</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利用</w:t>
            </w:r>
            <w:r>
              <w:rPr>
                <w:rFonts w:hint="default" w:ascii="Times New Roman" w:hAnsi="Times New Roman" w:cs="Times New Roman"/>
                <w:color w:val="000000" w:themeColor="text1"/>
                <w:sz w:val="24"/>
                <w:szCs w:val="24"/>
                <w:highlight w:val="none"/>
                <w:u w:val="none"/>
                <w14:textFill>
                  <w14:solidFill>
                    <w14:schemeClr w14:val="tx1"/>
                  </w14:solidFill>
                </w14:textFill>
              </w:rPr>
              <w:t>衡阳市朝阳重机有限公司</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已建厂房进行生产，属于衡阳湖南衡东经济开发区的管理范围。根据衡东经济</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开发区控制线详细规划</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（大浦</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工业园</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土地利用规划图</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，本项目占地类型为二类工业用地。本项目为结构性制造</w:t>
            </w:r>
            <w:r>
              <w:rPr>
                <w:rFonts w:hint="default" w:ascii="Times New Roman" w:hAnsi="Times New Roman" w:cs="Times New Roman"/>
                <w:color w:val="000000" w:themeColor="text1"/>
                <w:sz w:val="24"/>
                <w:szCs w:val="24"/>
                <w:highlight w:val="none"/>
                <w:u w:val="none"/>
                <w14:textFill>
                  <w14:solidFill>
                    <w14:schemeClr w14:val="tx1"/>
                  </w14:solidFill>
                </w14:textFill>
              </w:rPr>
              <w:t>，</w:t>
            </w: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属于金属制品制造，不属于三类工业项目，因此，本项目建设符合园区的土地利用规划。</w:t>
            </w:r>
          </w:p>
          <w:p w14:paraId="4B9B2E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u w:val="none"/>
                <w:lang w:val="en-US"/>
                <w14:textFill>
                  <w14:solidFill>
                    <w14:schemeClr w14:val="tx1"/>
                  </w14:solidFill>
                </w14:textFill>
              </w:rPr>
            </w:pPr>
            <w:r>
              <w:rPr>
                <w:rFonts w:hint="default" w:ascii="Times New Roman" w:hAnsi="Times New Roman" w:cs="Times New Roman"/>
                <w:color w:val="000000" w:themeColor="text1"/>
                <w:sz w:val="24"/>
                <w:szCs w:val="24"/>
                <w:highlight w:val="none"/>
                <w:u w:val="none"/>
                <w:lang w:val="en-US"/>
                <w14:textFill>
                  <w14:solidFill>
                    <w14:schemeClr w14:val="tx1"/>
                  </w14:solidFill>
                </w14:textFill>
              </w:rPr>
              <w:t>综上所述，本项目的建设符合衡阳湖南衡东经济开发区发展规划的相关要求。</w:t>
            </w:r>
          </w:p>
          <w:p w14:paraId="19F9224E">
            <w:pPr>
              <w:autoSpaceDE w:val="0"/>
              <w:autoSpaceDN w:val="0"/>
              <w:spacing w:line="360" w:lineRule="auto"/>
              <w:ind w:firstLine="480" w:firstLineChars="200"/>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与审查意见相符性分析</w:t>
            </w:r>
          </w:p>
          <w:p w14:paraId="0BF642C0">
            <w:pPr>
              <w:autoSpaceDE w:val="0"/>
              <w:autoSpaceDN w:val="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项目与《</w:t>
            </w:r>
            <w:r>
              <w:rPr>
                <w:rFonts w:hint="default" w:ascii="Times New Roman" w:hAnsi="Times New Roman" w:cs="Times New Roman"/>
                <w:color w:val="000000" w:themeColor="text1"/>
                <w:sz w:val="24"/>
                <w:highlight w:val="none"/>
                <w14:textFill>
                  <w14:solidFill>
                    <w14:schemeClr w14:val="tx1"/>
                  </w14:solidFill>
                </w14:textFill>
              </w:rPr>
              <w:t>湖南衡东经济开发区扩区规划环境影响报告书</w:t>
            </w:r>
            <w:r>
              <w:rPr>
                <w:rFonts w:hint="default" w:ascii="Times New Roman" w:hAnsi="Times New Roman" w:cs="Times New Roman"/>
                <w:color w:val="000000" w:themeColor="text1"/>
                <w:kern w:val="0"/>
                <w:sz w:val="24"/>
                <w:highlight w:val="none"/>
                <w14:textFill>
                  <w14:solidFill>
                    <w14:schemeClr w14:val="tx1"/>
                  </w14:solidFill>
                </w14:textFill>
              </w:rPr>
              <w:t>》审查意见符合性分析见下表</w:t>
            </w:r>
            <w:r>
              <w:rPr>
                <w:rFonts w:hint="default" w:ascii="Times New Roman" w:hAnsi="Times New Roman" w:cs="Times New Roman"/>
                <w:color w:val="000000" w:themeColor="text1"/>
                <w:highlight w:val="none"/>
                <w14:textFill>
                  <w14:solidFill>
                    <w14:schemeClr w14:val="tx1"/>
                  </w14:solidFill>
                </w14:textFill>
              </w:rPr>
              <w:t>。</w:t>
            </w:r>
          </w:p>
          <w:p w14:paraId="016B7C85">
            <w:pPr>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Cs w:val="21"/>
                <w:highlight w:val="none"/>
                <w14:textFill>
                  <w14:solidFill>
                    <w14:schemeClr w14:val="tx1"/>
                  </w14:solidFill>
                </w14:textFill>
              </w:rPr>
              <w:t>表1-2  项目与《湖南衡东经济开发区调区扩区规划环境影响报告书》审查意见符合性分析</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4443"/>
              <w:gridCol w:w="1696"/>
              <w:gridCol w:w="753"/>
            </w:tblGrid>
            <w:tr w14:paraId="529FB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1394B9B5">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序号</w:t>
                  </w:r>
                </w:p>
              </w:tc>
              <w:tc>
                <w:tcPr>
                  <w:tcW w:w="2955" w:type="pct"/>
                  <w:vAlign w:val="center"/>
                </w:tcPr>
                <w:p w14:paraId="4BA521DB">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文件要求</w:t>
                  </w:r>
                </w:p>
              </w:tc>
              <w:tc>
                <w:tcPr>
                  <w:tcW w:w="1128" w:type="pct"/>
                  <w:vAlign w:val="center"/>
                </w:tcPr>
                <w:p w14:paraId="1910B061">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本项目情况</w:t>
                  </w:r>
                </w:p>
              </w:tc>
              <w:tc>
                <w:tcPr>
                  <w:tcW w:w="501" w:type="pct"/>
                  <w:vAlign w:val="center"/>
                </w:tcPr>
                <w:p w14:paraId="304B44EB">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符合性</w:t>
                  </w:r>
                </w:p>
              </w:tc>
            </w:tr>
            <w:tr w14:paraId="51C08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533E5E3E">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2955" w:type="pct"/>
                  <w:vAlign w:val="center"/>
                </w:tcPr>
                <w:p w14:paraId="1AB244AC">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为了拓展发展空间,衡东经济开发区拟由2022年核准的474.51公顷调整至715.42公顷，调扩区完成后，形成“一区三园”的空间布局，即大浦工业园、泵业智造产业园和印章文化产业园。本次扩区后，大浦工业园规划面积626.49公顷，化工片区拟由147.3公顷扩至306.43公顷(其中在已认定化工片区的北侧扩增129.16公顷，其他各方向扩增29.97公顷)，上述扩增区域拟与已认定的化工片区一并作为化工片区规划，四至范围为东至平头桥工区、三才村一组，南至永旺路以南350-550米处，西至宋桥村林场、京广铁路以东50-100米处，北至宋桥村二十八组，主要发展化学原料和化学制品制造业、医药制造业，此外，对湖南有色衡东氟化学有限公司厂区范围基于已有氟化学品制造产业，规划发展化学原料和化学制品制造业，大浦工业园其他区域规划与2022年规划环评论证的内容基本保持不变,四至范围为东至三才村一组、堰桥村十九组，南至泉南高速公路，西至经一路，北至永旺路，主要发展电气机械和器材制造业、有色金属冶炼和压延加工业及非金属矿物制品产业。印章文化产业园位于衡东县洣水镇，东至国道240，南至乡道306，西至杨家台，北至金花村十三、十四组，面积24.80公顷，主要发展印章产业（文教办公用品产业)。泵业智造产业园位于衡东县吴集镇,东至龙奉村十三组，南至杨峰路，西至椒花坳，北至坪桥路，面积64.13公顷，主要发展电气机械和器材制造产业。园区总体及各片区具体面积、范围与相关坐标信息，以省政府及相关职能部门核准、认定的信息为准。</w:t>
                  </w:r>
                </w:p>
              </w:tc>
              <w:tc>
                <w:tcPr>
                  <w:tcW w:w="1128" w:type="pct"/>
                  <w:vAlign w:val="center"/>
                </w:tcPr>
                <w:p w14:paraId="44012D49">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本项目位于衡东经济开发区</w:t>
                  </w:r>
                  <w:r>
                    <w:rPr>
                      <w:rFonts w:hint="default" w:ascii="Times New Roman" w:hAnsi="Times New Roman" w:cs="Times New Roman"/>
                      <w:color w:val="000000" w:themeColor="text1"/>
                      <w:kern w:val="2"/>
                      <w:szCs w:val="21"/>
                      <w:highlight w:val="none"/>
                      <w14:textFill>
                        <w14:solidFill>
                          <w14:schemeClr w14:val="tx1"/>
                        </w14:solidFill>
                      </w14:textFill>
                    </w:rPr>
                    <w:t>大浦工业园</w:t>
                  </w:r>
                  <w:r>
                    <w:rPr>
                      <w:rFonts w:hint="default" w:ascii="Times New Roman" w:hAnsi="Times New Roman" w:cs="Times New Roman"/>
                      <w:color w:val="000000" w:themeColor="text1"/>
                      <w:szCs w:val="21"/>
                      <w:highlight w:val="none"/>
                      <w14:textFill>
                        <w14:solidFill>
                          <w14:schemeClr w14:val="tx1"/>
                        </w14:solidFill>
                      </w14:textFill>
                    </w:rPr>
                    <w:t>内，</w:t>
                  </w:r>
                  <w:r>
                    <w:rPr>
                      <w:rFonts w:hint="default" w:ascii="Times New Roman" w:hAnsi="Times New Roman" w:cs="Times New Roman"/>
                      <w:color w:val="000000" w:themeColor="text1"/>
                      <w:spacing w:val="-6"/>
                      <w:kern w:val="2"/>
                      <w:szCs w:val="21"/>
                      <w:highlight w:val="none"/>
                      <w14:textFill>
                        <w14:solidFill>
                          <w14:schemeClr w14:val="tx1"/>
                        </w14:solidFill>
                      </w14:textFill>
                    </w:rPr>
                    <w:t>项目生产</w:t>
                  </w:r>
                  <w:r>
                    <w:rPr>
                      <w:rFonts w:hint="default" w:ascii="Times New Roman" w:hAnsi="Times New Roman" w:cs="Times New Roman"/>
                      <w:color w:val="000000" w:themeColor="text1"/>
                      <w:kern w:val="2"/>
                      <w:szCs w:val="21"/>
                      <w:highlight w:val="none"/>
                      <w14:textFill>
                        <w14:solidFill>
                          <w14:schemeClr w14:val="tx1"/>
                        </w14:solidFill>
                      </w14:textFill>
                    </w:rPr>
                    <w:t>工程机械结构件，符合园区发展方向。</w:t>
                  </w:r>
                </w:p>
              </w:tc>
              <w:tc>
                <w:tcPr>
                  <w:tcW w:w="501" w:type="pct"/>
                  <w:vAlign w:val="center"/>
                </w:tcPr>
                <w:p w14:paraId="7C332933">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08AAC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622E7F94">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2955" w:type="pct"/>
                  <w:vAlign w:val="center"/>
                </w:tcPr>
                <w:p w14:paraId="2CE13C37">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严格依规开发，优化空间功能布局。按照最新的国土空间规划，科学规划空间发展布局，将空间管制融入园区规划实施全过程，园区应充分规划好城区与园区的关系，做好空间功能布局规划，将环境影响较大的工业项目尽可能远离集镇、安置小区布局，对于在园区四至范围内因各种原因未被划定为城镇开发边界范围的区域，应与周边区域统区化工片区应按照《化工园区建设标准和认定管理办法（试行）》 《化工园区综合评价导则》中生态环境保护相关要求及生态环境部门关于化工园区认定与复核相关文件的具体要求高标准规划与建设,在2022年已认定的化工片区南侧边界外设置二类工业用地以缓冲环境影响。</w:t>
                  </w:r>
                </w:p>
              </w:tc>
              <w:tc>
                <w:tcPr>
                  <w:tcW w:w="1128" w:type="pct"/>
                  <w:vAlign w:val="center"/>
                </w:tcPr>
                <w:p w14:paraId="57CFCF96">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本项目位于衡东经济开发区</w:t>
                  </w:r>
                  <w:r>
                    <w:rPr>
                      <w:rFonts w:hint="default" w:ascii="Times New Roman" w:hAnsi="Times New Roman" w:cs="Times New Roman"/>
                      <w:color w:val="000000" w:themeColor="text1"/>
                      <w:kern w:val="2"/>
                      <w:szCs w:val="21"/>
                      <w:highlight w:val="none"/>
                      <w14:textFill>
                        <w14:solidFill>
                          <w14:schemeClr w14:val="tx1"/>
                        </w14:solidFill>
                      </w14:textFill>
                    </w:rPr>
                    <w:t>大浦工业园</w:t>
                  </w:r>
                  <w:r>
                    <w:rPr>
                      <w:rFonts w:hint="default" w:ascii="Times New Roman" w:hAnsi="Times New Roman" w:cs="Times New Roman"/>
                      <w:color w:val="000000" w:themeColor="text1"/>
                      <w:highlight w:val="none"/>
                      <w14:textFill>
                        <w14:solidFill>
                          <w14:schemeClr w14:val="tx1"/>
                        </w14:solidFill>
                      </w14:textFill>
                    </w:rPr>
                    <w:t>内，项目用地为二类工业用地，符合该片区发展规划。</w:t>
                  </w:r>
                </w:p>
              </w:tc>
              <w:tc>
                <w:tcPr>
                  <w:tcW w:w="501" w:type="pct"/>
                  <w:vAlign w:val="center"/>
                </w:tcPr>
                <w:p w14:paraId="5A5BA3E1">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15C34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1AD227F5">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2955" w:type="pct"/>
                  <w:vAlign w:val="center"/>
                </w:tcPr>
                <w:p w14:paraId="0B53A585">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严格环境准入，优化园区产业结构。园区产业引进应严格遵循《长江保护法》《长江经济带发展负面清单指南》及《湖南省湘江保护条例》等法律法规及相关政策的要求,落实园区“三线一单”及《报告书》提出的准入条件、生态环境管控清单、产业负面清单等要求，化工片区新引进的产业项目应当符合化工片区的产业定位，在项目引进过程中加强化工片区的集约化布局，促进化工片区资源的高效利用与污染集中治理。</w:t>
                  </w:r>
                </w:p>
              </w:tc>
              <w:tc>
                <w:tcPr>
                  <w:tcW w:w="1128" w:type="pct"/>
                  <w:vAlign w:val="center"/>
                </w:tcPr>
                <w:p w14:paraId="230185AF">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本项目符合园区总体发展规划，符合园区“三线一单”及</w:t>
                  </w:r>
                  <w:r>
                    <w:rPr>
                      <w:rFonts w:hint="default" w:ascii="Times New Roman" w:hAnsi="Times New Roman" w:cs="Times New Roman"/>
                      <w:color w:val="000000" w:themeColor="text1"/>
                      <w:spacing w:val="-6"/>
                      <w:szCs w:val="21"/>
                      <w:highlight w:val="none"/>
                      <w14:textFill>
                        <w14:solidFill>
                          <w14:schemeClr w14:val="tx1"/>
                        </w14:solidFill>
                      </w14:textFill>
                    </w:rPr>
                    <w:t>《报告书》提出的准入条件、生态环境管控清单、产业负面清单等要求，项目用地为二类工业用地。</w:t>
                  </w:r>
                </w:p>
              </w:tc>
              <w:tc>
                <w:tcPr>
                  <w:tcW w:w="501" w:type="pct"/>
                  <w:vAlign w:val="center"/>
                </w:tcPr>
                <w:p w14:paraId="0C723E0E">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50328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0009DE16">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w:t>
                  </w:r>
                </w:p>
              </w:tc>
              <w:tc>
                <w:tcPr>
                  <w:tcW w:w="2955" w:type="pct"/>
                  <w:vAlign w:val="center"/>
                </w:tcPr>
                <w:p w14:paraId="159999DB">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落实管控措施，加强园区排污管理。完善园区各产业园污水管网及集中处理设施建设，实行雨污分流、污污分流，确保园区生产生活废水应收尽收,集中纳入各园区污水处理厂处理，应针对拟引进产业项目的污染排放特征做好大浦工业园片区污水处理厂的提质改造，园区不得超过污水处理厂的处理能力和入河排污口审批所规定的废水排放量引进项目。落实水产种质资源影响论证的相关要求，做好大浦工业园片区污水处理厂人工湿地的建设和日常运行维护，后续污水处理厂的扩容应合规开展。园区应推进清洁能源改造，采取有效措施减少污染物排放总量，加强对VOCs排放的治理,在位于大浦镇主城区常年上风向的区域应加强对气型污染项目的排放管控，对排放长期无法达标的企业实行限期整改或关停，督促相关化工企业按要求做好挥发性有机物泄漏检测与修复(LDAR )。建立园区固废规范化管理体系，做好工业固体废物和生活垃圾的分类收集、转运、综合利用和无害化处理。对危险废物应严格按照国家有关规定综合利用或妥善处置，对危险废物产生企业和经营单位，应强化日常环境监管。园区须严格落实排污许可制度和污染物排放总量控制，督促入园企业及时完成竣工环境保护验收工作，推动入园企业开展清洁生产审核。园区应落实第三方环境治理工作相关政策要求，强化对化工片区及重点产排污企业的监管与服务。</w:t>
                  </w:r>
                </w:p>
              </w:tc>
              <w:tc>
                <w:tcPr>
                  <w:tcW w:w="1128" w:type="pct"/>
                  <w:vAlign w:val="center"/>
                </w:tcPr>
                <w:p w14:paraId="40B03250">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本项目实施雨污分流制，</w:t>
                  </w:r>
                  <w:r>
                    <w:rPr>
                      <w:rFonts w:hint="default" w:ascii="Times New Roman" w:hAnsi="Times New Roman" w:cs="Times New Roman"/>
                      <w:color w:val="000000" w:themeColor="text1"/>
                      <w:highlight w:val="none"/>
                      <w14:textFill>
                        <w14:solidFill>
                          <w14:schemeClr w14:val="tx1"/>
                        </w14:solidFill>
                      </w14:textFill>
                    </w:rPr>
                    <w:t>雨水经雨水收集系统进入园区雨水管网；项目无废水产生，生产过程中产生的</w:t>
                  </w:r>
                  <w:r>
                    <w:rPr>
                      <w:rFonts w:hint="default" w:ascii="Times New Roman" w:hAnsi="Times New Roman" w:cs="Times New Roman"/>
                      <w:color w:val="000000" w:themeColor="text1"/>
                      <w:highlight w:val="none"/>
                      <w14:textFill>
                        <w14:solidFill>
                          <w14:schemeClr w14:val="tx1"/>
                        </w14:solidFill>
                      </w14:textFill>
                    </w:rPr>
                    <w:t>等离子切割下料</w:t>
                  </w:r>
                  <w:r>
                    <w:rPr>
                      <w:rFonts w:hint="default" w:ascii="Times New Roman" w:hAnsi="Times New Roman" w:cs="Times New Roman"/>
                      <w:color w:val="000000" w:themeColor="text1"/>
                      <w:highlight w:val="none"/>
                      <w14:textFill>
                        <w14:solidFill>
                          <w14:schemeClr w14:val="tx1"/>
                        </w14:solidFill>
                      </w14:textFill>
                    </w:rPr>
                    <w:t>废气经</w:t>
                  </w:r>
                  <w:r>
                    <w:rPr>
                      <w:rFonts w:hint="default" w:ascii="Times New Roman" w:hAnsi="Times New Roman" w:cs="Times New Roman"/>
                      <w:color w:val="000000" w:themeColor="text1"/>
                      <w:kern w:val="2"/>
                      <w:szCs w:val="21"/>
                      <w:highlight w:val="none"/>
                      <w14:textFill>
                        <w14:solidFill>
                          <w14:schemeClr w14:val="tx1"/>
                        </w14:solidFill>
                      </w14:textFill>
                    </w:rPr>
                    <w:t>布袋除尘+15m高排气筒</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排放，</w:t>
                  </w:r>
                  <w:r>
                    <w:rPr>
                      <w:rFonts w:hint="default" w:ascii="Times New Roman" w:hAnsi="Times New Roman" w:cs="Times New Roman"/>
                      <w:color w:val="000000" w:themeColor="text1"/>
                      <w:kern w:val="2"/>
                      <w:szCs w:val="21"/>
                      <w:highlight w:val="none"/>
                      <w14:textFill>
                        <w14:solidFill>
                          <w14:schemeClr w14:val="tx1"/>
                        </w14:solidFill>
                      </w14:textFill>
                    </w:rPr>
                    <w:t>抛丸</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废气经</w:t>
                  </w:r>
                  <w:r>
                    <w:rPr>
                      <w:rFonts w:hint="default" w:ascii="Times New Roman" w:hAnsi="Times New Roman" w:cs="Times New Roman"/>
                      <w:color w:val="000000" w:themeColor="text1"/>
                      <w:kern w:val="2"/>
                      <w:szCs w:val="21"/>
                      <w:highlight w:val="none"/>
                      <w14:textFill>
                        <w14:solidFill>
                          <w14:schemeClr w14:val="tx1"/>
                        </w14:solidFill>
                      </w14:textFill>
                    </w:rPr>
                    <w:t>布袋除尘+15m高排气筒</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排放，</w:t>
                  </w:r>
                  <w:r>
                    <w:rPr>
                      <w:rFonts w:hint="default" w:ascii="Times New Roman" w:hAnsi="Times New Roman" w:cs="Times New Roman"/>
                      <w:color w:val="000000" w:themeColor="text1"/>
                      <w:kern w:val="2"/>
                      <w:szCs w:val="21"/>
                      <w:highlight w:val="none"/>
                      <w14:textFill>
                        <w14:solidFill>
                          <w14:schemeClr w14:val="tx1"/>
                        </w14:solidFill>
                      </w14:textFill>
                    </w:rPr>
                    <w:t>喷漆+烘干工序</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废气经</w:t>
                  </w:r>
                  <w:r>
                    <w:rPr>
                      <w:rFonts w:hint="default" w:ascii="Times New Roman" w:hAnsi="Times New Roman" w:cs="Times New Roman"/>
                      <w:color w:val="000000" w:themeColor="text1"/>
                      <w:kern w:val="2"/>
                      <w:szCs w:val="21"/>
                      <w:highlight w:val="none"/>
                      <w14:textFill>
                        <w14:solidFill>
                          <w14:schemeClr w14:val="tx1"/>
                        </w14:solidFill>
                      </w14:textFill>
                    </w:rPr>
                    <w:t>水喷淋+干式过滤器+活性炭吸附/脱附+催化燃烧+15m高排气筒（DA00</w:t>
                  </w:r>
                  <w:r>
                    <w:rPr>
                      <w:rFonts w:hint="default" w:ascii="Times New Roman" w:hAnsi="Times New Roman" w:cs="Times New Roman"/>
                      <w:color w:val="000000" w:themeColor="text1"/>
                      <w:kern w:val="2"/>
                      <w:szCs w:val="21"/>
                      <w:highlight w:val="none"/>
                      <w14:textFill>
                        <w14:solidFill>
                          <w14:schemeClr w14:val="tx1"/>
                        </w14:solidFill>
                      </w14:textFill>
                    </w:rPr>
                    <w:t>3</w:t>
                  </w:r>
                  <w:r>
                    <w:rPr>
                      <w:rFonts w:hint="default" w:ascii="Times New Roman" w:hAnsi="Times New Roman" w:cs="Times New Roman"/>
                      <w:color w:val="000000" w:themeColor="text1"/>
                      <w:kern w:val="2"/>
                      <w:szCs w:val="21"/>
                      <w:highlight w:val="none"/>
                      <w14:textFill>
                        <w14:solidFill>
                          <w14:schemeClr w14:val="tx1"/>
                        </w14:solidFill>
                      </w14:textFill>
                    </w:rPr>
                    <w:t>）</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排放，</w:t>
                  </w:r>
                  <w:r>
                    <w:rPr>
                      <w:rFonts w:hint="default" w:ascii="Times New Roman" w:hAnsi="Times New Roman" w:cs="Times New Roman"/>
                      <w:color w:val="000000" w:themeColor="text1"/>
                      <w:highlight w:val="none"/>
                      <w14:textFill>
                        <w14:solidFill>
                          <w14:schemeClr w14:val="tx1"/>
                        </w14:solidFill>
                      </w14:textFill>
                    </w:rPr>
                    <w:t>对周边环境影响较小。</w:t>
                  </w:r>
                  <w:r>
                    <w:rPr>
                      <w:rFonts w:hint="default" w:ascii="Times New Roman" w:hAnsi="Times New Roman" w:cs="Times New Roman"/>
                      <w:color w:val="000000" w:themeColor="text1"/>
                      <w:szCs w:val="21"/>
                      <w:highlight w:val="none"/>
                      <w14:textFill>
                        <w14:solidFill>
                          <w14:schemeClr w14:val="tx1"/>
                        </w14:solidFill>
                      </w14:textFill>
                    </w:rPr>
                    <w:t>各类固体废物均妥善处置。</w:t>
                  </w:r>
                </w:p>
              </w:tc>
              <w:tc>
                <w:tcPr>
                  <w:tcW w:w="501" w:type="pct"/>
                  <w:vAlign w:val="center"/>
                </w:tcPr>
                <w:p w14:paraId="428700B2">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432E2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3D957214">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w:t>
                  </w:r>
                </w:p>
              </w:tc>
              <w:tc>
                <w:tcPr>
                  <w:tcW w:w="2955" w:type="pct"/>
                  <w:vAlign w:val="center"/>
                </w:tcPr>
                <w:p w14:paraId="29464115">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完善监测体系，监控环境质量变化状况。结合园区规划的功能分区、产业布局、重点企业分布、特征污染物的排放种类和状况、环境敏感目标分布等，建立健全环境空气、地表水、地下水、土壤等环境要素的监控体系。加强对园区周边空气、土壤环境质量的跟踪监测，重点关注化工片区与大浦镇区之间的区域大气环境质量变化、园区涉重企业周边土壤及化工片区周边基本农田土壤重金属浓度的变化情况。加强对园区重点排放企业的监督性监测，防止其污染物偷排漏排。加快化工片区环境空气自动监测站及排污口上、下游地表水自动监测站的建设，并涵盖相关特征污染物因子。</w:t>
                  </w:r>
                </w:p>
              </w:tc>
              <w:tc>
                <w:tcPr>
                  <w:tcW w:w="1128" w:type="pct"/>
                  <w:vAlign w:val="center"/>
                </w:tcPr>
                <w:p w14:paraId="073B97FA">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项目建成运营后定期对废水、废气及噪声开展自行监测。</w:t>
                  </w:r>
                </w:p>
              </w:tc>
              <w:tc>
                <w:tcPr>
                  <w:tcW w:w="501" w:type="pct"/>
                  <w:vAlign w:val="center"/>
                </w:tcPr>
                <w:p w14:paraId="14420107">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33708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5D9A3DC7">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w:t>
                  </w:r>
                </w:p>
              </w:tc>
              <w:tc>
                <w:tcPr>
                  <w:tcW w:w="2955" w:type="pct"/>
                  <w:vAlign w:val="center"/>
                </w:tcPr>
                <w:p w14:paraId="0140DA88">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强化风险管控，严防园区环境事故。建立健全园区环境风险管理工作长效机制，加强园区环境风险防控、预警和应急体系建设。落实环境风险防控措施，及时完成园区环境应急预案的修订和备案工作，推动重点污染企业环境应急预案编制和备案工作，加强应急救援队伍、装备和设施建</w:t>
                  </w:r>
                  <w:r>
                    <w:rPr>
                      <w:rFonts w:hint="default" w:ascii="Times New Roman" w:hAnsi="Times New Roman" w:cs="Times New Roman"/>
                      <w:color w:val="000000" w:themeColor="text1"/>
                      <w:spacing w:val="-6"/>
                      <w:szCs w:val="21"/>
                      <w:highlight w:val="none"/>
                      <w14:textFill>
                        <w14:solidFill>
                          <w14:schemeClr w14:val="tx1"/>
                        </w14:solidFill>
                      </w14:textFill>
                    </w:rPr>
                    <w:t>设，储备必要的应急物资，有计划地组织应急培训和演练，全面提升园区环境风险防控和环境事故应急处置能力。化工片区应按要求建设公共的事故水池、应急截流沟等环境风险设施并完善环境风险应急体系。</w:t>
                  </w:r>
                </w:p>
              </w:tc>
              <w:tc>
                <w:tcPr>
                  <w:tcW w:w="1128" w:type="pct"/>
                  <w:vAlign w:val="center"/>
                </w:tcPr>
                <w:p w14:paraId="300C41B7">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环评要求项目建成后编制应急预案，并与园区应急预案进行衔接。</w:t>
                  </w:r>
                </w:p>
              </w:tc>
              <w:tc>
                <w:tcPr>
                  <w:tcW w:w="501" w:type="pct"/>
                  <w:vAlign w:val="center"/>
                </w:tcPr>
                <w:p w14:paraId="6141C6B2">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64C0B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0038CC23">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w:t>
                  </w:r>
                </w:p>
              </w:tc>
              <w:tc>
                <w:tcPr>
                  <w:tcW w:w="2955" w:type="pct"/>
                  <w:vAlign w:val="center"/>
                </w:tcPr>
                <w:p w14:paraId="1DFC1D07">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做好周边控规，落实搬迁安置计划。园区应协调衡东县政府及相关职能部门严格做好控规,杜绝在规划的工业用地上新增环境敏感目标，尽可能避免大浦镇区向园区化工片区方向扩张，构建化工片区与城镇居住区间的生态廊道，在化工片区西南与大浦镇区之间，北至京广铁路线，西至大浦镇中学，南至七一二矿专用铁路线，东至园区西边界的区域不新增集中居住区。确保园区开发过程中的居民拆迁安置到位，防止发生居民再次安置和次生环境问题。对于具体项目环评设置防护距离和拆迁要求的，要确保予以落实。</w:t>
                  </w:r>
                </w:p>
              </w:tc>
              <w:tc>
                <w:tcPr>
                  <w:tcW w:w="1128" w:type="pct"/>
                  <w:vAlign w:val="center"/>
                </w:tcPr>
                <w:p w14:paraId="6BF265DD">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项目不涉及拆迁。</w:t>
                  </w:r>
                </w:p>
              </w:tc>
              <w:tc>
                <w:tcPr>
                  <w:tcW w:w="501" w:type="pct"/>
                  <w:vAlign w:val="center"/>
                </w:tcPr>
                <w:p w14:paraId="4D3AD315">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43622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50AA79A4">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8</w:t>
                  </w:r>
                </w:p>
              </w:tc>
              <w:tc>
                <w:tcPr>
                  <w:tcW w:w="2955" w:type="pct"/>
                  <w:vAlign w:val="center"/>
                </w:tcPr>
                <w:p w14:paraId="370964AA">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做好园区建设期生态保护和水土保持。园区开发建设过程中对土石方开挖、堆存及回填要实施围挡、护坡等措施,裸露地及时恢复植被,防止水土流失,杜绝施工建设对地表水体的污染。</w:t>
                  </w:r>
                </w:p>
              </w:tc>
              <w:tc>
                <w:tcPr>
                  <w:tcW w:w="1128" w:type="pct"/>
                  <w:vAlign w:val="center"/>
                </w:tcPr>
                <w:p w14:paraId="7E67B0A9">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项目施工期采取有效的生态保护及水土保持措施。</w:t>
                  </w:r>
                </w:p>
              </w:tc>
              <w:tc>
                <w:tcPr>
                  <w:tcW w:w="501" w:type="pct"/>
                  <w:vAlign w:val="center"/>
                </w:tcPr>
                <w:p w14:paraId="6AF13A9A">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4C18F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 w:type="pct"/>
                  <w:vAlign w:val="center"/>
                </w:tcPr>
                <w:p w14:paraId="2752D212">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w:t>
                  </w:r>
                </w:p>
              </w:tc>
              <w:tc>
                <w:tcPr>
                  <w:tcW w:w="2955" w:type="pct"/>
                  <w:vAlign w:val="center"/>
                </w:tcPr>
                <w:p w14:paraId="2F51C705">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园区规划必须与区域宏观规划相协调，如区域宏观规划进行调整，园区规划须作相应调整并进行环境可行性论证。加强园区规划环评与项目环评的联动机制，对符合规划环评环境管控要求和生态环境准入清单的具体建设项目，应将规划环评结论</w:t>
                  </w:r>
                  <w:r>
                    <w:rPr>
                      <w:rFonts w:hint="default" w:ascii="Times New Roman" w:hAnsi="Times New Roman" w:cs="Times New Roman"/>
                      <w:color w:val="000000" w:themeColor="text1"/>
                      <w:spacing w:val="-6"/>
                      <w:szCs w:val="21"/>
                      <w:highlight w:val="none"/>
                      <w14:textFill>
                        <w14:solidFill>
                          <w14:schemeClr w14:val="tx1"/>
                        </w14:solidFill>
                      </w14:textFill>
                    </w:rPr>
                    <w:t>作为重要依据，其环评文件中选址选线、规模分析内容可适当简化。园区后续建设中，应适时开展规划环境影响跟踪评价工作。</w:t>
                  </w:r>
                </w:p>
              </w:tc>
              <w:tc>
                <w:tcPr>
                  <w:tcW w:w="1128" w:type="pct"/>
                  <w:vAlign w:val="center"/>
                </w:tcPr>
                <w:p w14:paraId="6F4CD36B">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严格执行。</w:t>
                  </w:r>
                </w:p>
              </w:tc>
              <w:tc>
                <w:tcPr>
                  <w:tcW w:w="501" w:type="pct"/>
                  <w:vAlign w:val="center"/>
                </w:tcPr>
                <w:p w14:paraId="7157B072">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bl>
          <w:p w14:paraId="7538E451">
            <w:pPr>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p>
        </w:tc>
      </w:tr>
      <w:tr w14:paraId="4E7EF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127" w:type="dxa"/>
            <w:vAlign w:val="center"/>
          </w:tcPr>
          <w:p w14:paraId="540D5218">
            <w:pPr>
              <w:autoSpaceDE w:val="0"/>
              <w:autoSpaceDN w:val="0"/>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其他符合性分析</w:t>
            </w:r>
          </w:p>
        </w:tc>
        <w:tc>
          <w:tcPr>
            <w:tcW w:w="7743" w:type="dxa"/>
            <w:gridSpan w:val="3"/>
            <w:vAlign w:val="center"/>
          </w:tcPr>
          <w:p w14:paraId="1E134913">
            <w:pPr>
              <w:spacing w:line="360" w:lineRule="auto"/>
              <w:ind w:firstLine="482" w:firstLineChars="200"/>
              <w:outlineLvl w:val="1"/>
              <w:rPr>
                <w:rFonts w:hint="default" w:ascii="Times New Roman" w:hAnsi="Times New Roman" w:cs="Times New Roman"/>
                <w:b/>
                <w:bCs/>
                <w:color w:val="000000" w:themeColor="text1"/>
                <w:sz w:val="24"/>
                <w:szCs w:val="28"/>
                <w:highlight w:val="none"/>
                <w:lang w:bidi="ar"/>
                <w14:textFill>
                  <w14:solidFill>
                    <w14:schemeClr w14:val="tx1"/>
                  </w14:solidFill>
                </w14:textFill>
              </w:rPr>
            </w:pPr>
            <w:bookmarkStart w:id="6" w:name="_Toc24081"/>
            <w:bookmarkStart w:id="7" w:name="_Toc3499"/>
            <w:bookmarkStart w:id="8" w:name="_Toc21918"/>
            <w:r>
              <w:rPr>
                <w:rFonts w:hint="default" w:ascii="Times New Roman" w:hAnsi="Times New Roman" w:cs="Times New Roman"/>
                <w:b/>
                <w:bCs/>
                <w:color w:val="000000" w:themeColor="text1"/>
                <w:sz w:val="24"/>
                <w:szCs w:val="28"/>
                <w:highlight w:val="none"/>
                <w:lang w:bidi="ar"/>
                <w14:textFill>
                  <w14:solidFill>
                    <w14:schemeClr w14:val="tx1"/>
                  </w14:solidFill>
                </w14:textFill>
              </w:rPr>
              <w:t>1、产业政策符合性分析</w:t>
            </w:r>
            <w:bookmarkEnd w:id="6"/>
            <w:bookmarkEnd w:id="7"/>
            <w:bookmarkEnd w:id="8"/>
          </w:p>
          <w:p w14:paraId="64E71606">
            <w:pPr>
              <w:pStyle w:val="78"/>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对照《产业结构调整指导目录（2024年本）》，本项目不属于《产业结构调整指导目录（2024年本）》中“限制类”和“淘汰类”，本项目建设符合国家和地方产业政策。</w:t>
            </w:r>
          </w:p>
          <w:p w14:paraId="1044BFE5">
            <w:pPr>
              <w:spacing w:line="360" w:lineRule="auto"/>
              <w:ind w:firstLine="480"/>
              <w:rPr>
                <w:rFonts w:hint="default" w:ascii="Times New Roman" w:hAnsi="Times New Roman" w:cs="Times New Roman"/>
                <w:b/>
                <w:bCs/>
                <w:color w:val="000000" w:themeColor="text1"/>
                <w:sz w:val="24"/>
                <w:highlight w:val="none"/>
                <w14:textFill>
                  <w14:solidFill>
                    <w14:schemeClr w14:val="tx1"/>
                  </w14:solidFill>
                </w14:textFill>
              </w:rPr>
            </w:pPr>
            <w:bookmarkStart w:id="9" w:name="_Toc12255"/>
            <w:bookmarkStart w:id="10" w:name="_Toc2574"/>
            <w:r>
              <w:rPr>
                <w:rFonts w:hint="default" w:ascii="Times New Roman" w:hAnsi="Times New Roman" w:cs="Times New Roman"/>
                <w:b/>
                <w:bCs/>
                <w:color w:val="000000" w:themeColor="text1"/>
                <w:sz w:val="24"/>
                <w:szCs w:val="28"/>
                <w:highlight w:val="none"/>
                <w:lang w:bidi="ar"/>
                <w14:textFill>
                  <w14:solidFill>
                    <w14:schemeClr w14:val="tx1"/>
                  </w14:solidFill>
                </w14:textFill>
              </w:rPr>
              <w:t>2、</w:t>
            </w:r>
            <w:r>
              <w:rPr>
                <w:rFonts w:hint="default" w:ascii="Times New Roman" w:hAnsi="Times New Roman" w:cs="Times New Roman"/>
                <w:b/>
                <w:bCs/>
                <w:color w:val="000000" w:themeColor="text1"/>
                <w:sz w:val="24"/>
                <w:highlight w:val="none"/>
                <w14:textFill>
                  <w14:solidFill>
                    <w14:schemeClr w14:val="tx1"/>
                  </w14:solidFill>
                </w14:textFill>
              </w:rPr>
              <w:t>与《衡阳市“十四五”空气质量改善规划》符合性分析</w:t>
            </w:r>
          </w:p>
          <w:p w14:paraId="38827442">
            <w:pPr>
              <w:spacing w:line="360" w:lineRule="auto"/>
              <w:ind w:firstLine="480" w:firstLineChars="200"/>
              <w:outlineLvl w:val="1"/>
              <w:rPr>
                <w:rFonts w:hint="default" w:ascii="Times New Roman" w:hAnsi="Times New Roman" w:cs="Times New Roman"/>
                <w:color w:val="000000" w:themeColor="text1"/>
                <w:sz w:val="24"/>
                <w:szCs w:val="28"/>
                <w:highlight w:val="none"/>
                <w:lang w:bidi="ar"/>
                <w14:textFill>
                  <w14:solidFill>
                    <w14:schemeClr w14:val="tx1"/>
                  </w14:solidFill>
                </w14:textFill>
              </w:rPr>
            </w:pPr>
            <w:bookmarkStart w:id="11" w:name="_Toc8925"/>
            <w:r>
              <w:rPr>
                <w:rFonts w:hint="default" w:ascii="Times New Roman" w:hAnsi="Times New Roman" w:cs="Times New Roman"/>
                <w:color w:val="000000" w:themeColor="text1"/>
                <w:sz w:val="24"/>
                <w:szCs w:val="28"/>
                <w:highlight w:val="none"/>
                <w:lang w:bidi="ar"/>
                <w14:textFill>
                  <w14:solidFill>
                    <w14:schemeClr w14:val="tx1"/>
                  </w14:solidFill>
                </w14:textFill>
              </w:rPr>
              <w:t>根据</w:t>
            </w:r>
            <w:r>
              <w:rPr>
                <w:rFonts w:hint="default" w:ascii="Times New Roman" w:hAnsi="Times New Roman" w:cs="Times New Roman"/>
                <w:color w:val="000000" w:themeColor="text1"/>
                <w:sz w:val="24"/>
                <w:highlight w:val="none"/>
                <w14:textFill>
                  <w14:solidFill>
                    <w14:schemeClr w14:val="tx1"/>
                  </w14:solidFill>
                </w14:textFill>
              </w:rPr>
              <w:t>《衡阳市“十四五”空气质量改善规划》重点任务和措施：坚决遏制高耗能、高排放项目盲目发展，严控高污染高排放行业产能。。。重点清查钢铁、水泥、有色、化工、玻璃和其他涉VOCs排放行业能耗。强化多污染物减排，降低VOCs和氮氧化物排放水平。</w:t>
            </w:r>
            <w:bookmarkEnd w:id="11"/>
          </w:p>
          <w:p w14:paraId="7FB2C710">
            <w:pPr>
              <w:spacing w:line="360" w:lineRule="auto"/>
              <w:ind w:firstLine="480" w:firstLineChars="200"/>
              <w:outlineLvl w:val="1"/>
              <w:rPr>
                <w:rFonts w:hint="default" w:ascii="Times New Roman" w:hAnsi="Times New Roman" w:cs="Times New Roman"/>
                <w:color w:val="000000" w:themeColor="text1"/>
                <w:sz w:val="24"/>
                <w:szCs w:val="28"/>
                <w:highlight w:val="none"/>
                <w:lang w:bidi="ar"/>
                <w14:textFill>
                  <w14:solidFill>
                    <w14:schemeClr w14:val="tx1"/>
                  </w14:solidFill>
                </w14:textFill>
              </w:rPr>
            </w:pPr>
            <w:bookmarkStart w:id="12" w:name="_Toc24333"/>
            <w:r>
              <w:rPr>
                <w:rFonts w:hint="default" w:ascii="Times New Roman" w:hAnsi="Times New Roman" w:cs="Times New Roman"/>
                <w:snapToGrid w:val="0"/>
                <w:color w:val="000000" w:themeColor="text1"/>
                <w:kern w:val="0"/>
                <w:sz w:val="24"/>
                <w:highlight w:val="none"/>
                <w14:textFill>
                  <w14:solidFill>
                    <w14:schemeClr w14:val="tx1"/>
                  </w14:solidFill>
                </w14:textFill>
              </w:rPr>
              <w:t>本项目使用电源为能源，产生的各类废气经收集处理后均能达标排放，不属于高</w:t>
            </w:r>
            <w:r>
              <w:rPr>
                <w:rFonts w:hint="default" w:ascii="Times New Roman" w:hAnsi="Times New Roman" w:cs="Times New Roman"/>
                <w:color w:val="000000" w:themeColor="text1"/>
                <w:sz w:val="24"/>
                <w:highlight w:val="none"/>
                <w14:textFill>
                  <w14:solidFill>
                    <w14:schemeClr w14:val="tx1"/>
                  </w14:solidFill>
                </w14:textFill>
              </w:rPr>
              <w:t>耗能、高排放项目</w:t>
            </w:r>
            <w:r>
              <w:rPr>
                <w:rFonts w:hint="default" w:ascii="Times New Roman" w:hAnsi="Times New Roman" w:cs="Times New Roman"/>
                <w:snapToGrid w:val="0"/>
                <w:color w:val="000000" w:themeColor="text1"/>
                <w:kern w:val="0"/>
                <w:sz w:val="24"/>
                <w:highlight w:val="none"/>
                <w14:textFill>
                  <w14:solidFill>
                    <w14:schemeClr w14:val="tx1"/>
                  </w14:solidFill>
                </w14:textFill>
              </w:rPr>
              <w:t>，与</w:t>
            </w:r>
            <w:r>
              <w:rPr>
                <w:rFonts w:hint="default" w:ascii="Times New Roman" w:hAnsi="Times New Roman" w:cs="Times New Roman"/>
                <w:color w:val="000000" w:themeColor="text1"/>
                <w:sz w:val="24"/>
                <w:highlight w:val="none"/>
                <w14:textFill>
                  <w14:solidFill>
                    <w14:schemeClr w14:val="tx1"/>
                  </w14:solidFill>
                </w14:textFill>
              </w:rPr>
              <w:t>《衡阳市“十四五”空气质量改善规划》相符</w:t>
            </w:r>
            <w:r>
              <w:rPr>
                <w:rFonts w:hint="default" w:ascii="Times New Roman" w:hAnsi="Times New Roman" w:cs="Times New Roman"/>
                <w:snapToGrid w:val="0"/>
                <w:color w:val="000000" w:themeColor="text1"/>
                <w:kern w:val="0"/>
                <w:sz w:val="24"/>
                <w:highlight w:val="none"/>
                <w14:textFill>
                  <w14:solidFill>
                    <w14:schemeClr w14:val="tx1"/>
                  </w14:solidFill>
                </w14:textFill>
              </w:rPr>
              <w:t>。</w:t>
            </w:r>
            <w:bookmarkEnd w:id="12"/>
          </w:p>
          <w:p w14:paraId="088BAEC5">
            <w:pPr>
              <w:spacing w:line="360" w:lineRule="auto"/>
              <w:ind w:firstLine="482" w:firstLineChars="200"/>
              <w:outlineLvl w:val="1"/>
              <w:rPr>
                <w:rFonts w:hint="default" w:ascii="Times New Roman" w:hAnsi="Times New Roman" w:cs="Times New Roman"/>
                <w:b/>
                <w:bCs/>
                <w:color w:val="000000" w:themeColor="text1"/>
                <w:sz w:val="24"/>
                <w:szCs w:val="28"/>
                <w:highlight w:val="none"/>
                <w:lang w:bidi="ar"/>
                <w14:textFill>
                  <w14:solidFill>
                    <w14:schemeClr w14:val="tx1"/>
                  </w14:solidFill>
                </w14:textFill>
              </w:rPr>
            </w:pPr>
            <w:bookmarkStart w:id="13" w:name="_Toc23014"/>
            <w:r>
              <w:rPr>
                <w:rFonts w:hint="default" w:ascii="Times New Roman" w:hAnsi="Times New Roman" w:cs="Times New Roman"/>
                <w:b/>
                <w:bCs/>
                <w:color w:val="000000" w:themeColor="text1"/>
                <w:sz w:val="24"/>
                <w:highlight w:val="none"/>
                <w14:textFill>
                  <w14:solidFill>
                    <w14:schemeClr w14:val="tx1"/>
                  </w14:solidFill>
                </w14:textFill>
              </w:rPr>
              <w:t>3、与《衡阳市“十四五生态环境保护规划》符合性分析</w:t>
            </w:r>
            <w:bookmarkEnd w:id="13"/>
          </w:p>
          <w:p w14:paraId="71BC7C14">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lang w:bidi="ar"/>
                <w14:textFill>
                  <w14:solidFill>
                    <w14:schemeClr w14:val="tx1"/>
                  </w14:solidFill>
                </w14:textFill>
              </w:rPr>
            </w:pPr>
            <w:r>
              <w:rPr>
                <w:rFonts w:hint="default" w:ascii="Times New Roman" w:hAnsi="Times New Roman" w:cs="Times New Roman"/>
                <w:color w:val="000000" w:themeColor="text1"/>
                <w:sz w:val="24"/>
                <w:highlight w:val="none"/>
                <w:lang w:bidi="ar"/>
                <w14:textFill>
                  <w14:solidFill>
                    <w14:schemeClr w14:val="tx1"/>
                  </w14:solidFill>
                </w14:textFill>
              </w:rPr>
              <w:t>根据</w:t>
            </w:r>
            <w:r>
              <w:rPr>
                <w:rFonts w:hint="default" w:ascii="Times New Roman" w:hAnsi="Times New Roman" w:cs="Times New Roman"/>
                <w:color w:val="000000" w:themeColor="text1"/>
                <w:sz w:val="24"/>
                <w:highlight w:val="none"/>
                <w14:textFill>
                  <w14:solidFill>
                    <w14:schemeClr w14:val="tx1"/>
                  </w14:solidFill>
                </w14:textFill>
              </w:rPr>
              <w:t>《衡阳市“十四五生态环境保护规划》：</w:t>
            </w:r>
            <w:r>
              <w:rPr>
                <w:rFonts w:hint="default" w:ascii="Times New Roman" w:hAnsi="Times New Roman" w:cs="Times New Roman"/>
                <w:b/>
                <w:bCs/>
                <w:color w:val="000000" w:themeColor="text1"/>
                <w:sz w:val="24"/>
                <w:highlight w:val="none"/>
                <w:shd w:val="clear" w:color="auto" w:fill="FFFFFF"/>
                <w14:textFill>
                  <w14:solidFill>
                    <w14:schemeClr w14:val="tx1"/>
                  </w14:solidFill>
                </w14:textFill>
              </w:rPr>
              <w:t>4.推动产业结构调整。</w:t>
            </w:r>
            <w:r>
              <w:rPr>
                <w:rFonts w:hint="default" w:ascii="Times New Roman" w:hAnsi="Times New Roman" w:cs="Times New Roman"/>
                <w:color w:val="000000" w:themeColor="text1"/>
                <w:sz w:val="24"/>
                <w:highlight w:val="none"/>
                <w:shd w:val="clear" w:color="auto" w:fill="FFFFFF"/>
                <w14:textFill>
                  <w14:solidFill>
                    <w14:schemeClr w14:val="tx1"/>
                  </w14:solidFill>
                </w14:textFill>
              </w:rPr>
              <w:t>继续推动沿江"一公里"化工企业搬迁改造工作，淘汰过剩落后产能，控制高耗能行业新增产能规模。推动高污染企业搬迁入园或者依法关闭，大力推进绿色制造。</w:t>
            </w:r>
            <w:r>
              <w:rPr>
                <w:rFonts w:hint="default" w:ascii="Times New Roman" w:hAnsi="Times New Roman" w:cs="Times New Roman"/>
                <w:b/>
                <w:bCs/>
                <w:color w:val="000000" w:themeColor="text1"/>
                <w:sz w:val="24"/>
                <w:highlight w:val="none"/>
                <w:shd w:val="clear" w:color="auto" w:fill="FFFFFF"/>
                <w14:textFill>
                  <w14:solidFill>
                    <w14:schemeClr w14:val="tx1"/>
                  </w14:solidFill>
                </w14:textFill>
              </w:rPr>
              <w:t>34.建立绿色发展规矩。</w:t>
            </w:r>
            <w:r>
              <w:rPr>
                <w:rFonts w:hint="default" w:ascii="Times New Roman" w:hAnsi="Times New Roman" w:cs="Times New Roman"/>
                <w:color w:val="000000" w:themeColor="text1"/>
                <w:sz w:val="24"/>
                <w:highlight w:val="none"/>
                <w:shd w:val="clear" w:color="auto" w:fill="FFFFFF"/>
                <w14:textFill>
                  <w14:solidFill>
                    <w14:schemeClr w14:val="tx1"/>
                  </w14:solidFill>
                </w14:textFill>
              </w:rPr>
              <w:t>推进全市"三线一单"分区管控成果落地应用，及时做好"三线一单"成果动态更新。深入贯彻《排污许可管理条例》和生态环境部《关于构建以排污许可制为核心的固定污染源监管制度体系实施方案》，构建以排污许可制为核心的固定污染源监管制度体系，加强排污许可证事中事后监管。落实企事业单位和产业园区环保信用评价管理办法，推动火电企业、建筑施工企业等纳入信用评价范畴，完善环保信用体系建设。</w:t>
            </w:r>
            <w:r>
              <w:rPr>
                <w:rFonts w:hint="default" w:ascii="Times New Roman" w:hAnsi="Times New Roman" w:cs="Times New Roman"/>
                <w:b/>
                <w:bCs/>
                <w:color w:val="000000" w:themeColor="text1"/>
                <w:sz w:val="24"/>
                <w:highlight w:val="none"/>
                <w14:textFill>
                  <w14:solidFill>
                    <w14:schemeClr w14:val="tx1"/>
                  </w14:solidFill>
                </w14:textFill>
              </w:rPr>
              <w:t>四、深入打好污染防治攻坚战</w:t>
            </w:r>
            <w:r>
              <w:rPr>
                <w:rFonts w:hint="default" w:ascii="Times New Roman" w:hAnsi="Times New Roman" w:cs="Times New Roman"/>
                <w:color w:val="000000" w:themeColor="text1"/>
                <w:sz w:val="24"/>
                <w:highlight w:val="none"/>
                <w14:textFill>
                  <w14:solidFill>
                    <w14:schemeClr w14:val="tx1"/>
                  </w14:solidFill>
                </w14:textFill>
              </w:rPr>
              <w:t>（二）深入打好蓝天保卫战。强化重点行业VOCs科学治理。以工业涂装、石化、化工、包装印刷、油品储运销等行业为重点，实施企业VOCs原料替代、排放全过程控制。按照“分业施策、一行一策”的原则，加大低VOCs含量原辅材料的推广使用力度，从源头减少VOCs产生。推进使用先进生产工艺设备，减少无组织排放。实行重点排放源排放浓度与去除效率双重控制。加强汽修行业VOCs综合治理，加大餐饮油烟污染治理力度，推进县级以上城市餐饮油烟治理全覆盖。</w:t>
            </w:r>
          </w:p>
          <w:p w14:paraId="66F0F42A">
            <w:pPr>
              <w:spacing w:line="360" w:lineRule="auto"/>
              <w:ind w:firstLine="480" w:firstLineChars="200"/>
              <w:outlineLvl w:val="1"/>
              <w:rPr>
                <w:rFonts w:hint="default" w:ascii="Times New Roman" w:hAnsi="Times New Roman" w:cs="Times New Roman"/>
                <w:color w:val="000000" w:themeColor="text1"/>
                <w:sz w:val="24"/>
                <w:highlight w:val="none"/>
                <w:lang w:bidi="ar"/>
                <w14:textFill>
                  <w14:solidFill>
                    <w14:schemeClr w14:val="tx1"/>
                  </w14:solidFill>
                </w14:textFill>
              </w:rPr>
            </w:pPr>
            <w:bookmarkStart w:id="14" w:name="_Toc18830"/>
            <w:r>
              <w:rPr>
                <w:rFonts w:hint="default" w:ascii="Times New Roman" w:hAnsi="Times New Roman" w:cs="Times New Roman"/>
                <w:snapToGrid w:val="0"/>
                <w:color w:val="000000" w:themeColor="text1"/>
                <w:kern w:val="0"/>
                <w:sz w:val="24"/>
                <w:highlight w:val="none"/>
                <w14:textFill>
                  <w14:solidFill>
                    <w14:schemeClr w14:val="tx1"/>
                  </w14:solidFill>
                </w14:textFill>
              </w:rPr>
              <w:t>本项目使用电源为能源，</w:t>
            </w:r>
            <w:r>
              <w:rPr>
                <w:rFonts w:hint="default" w:ascii="Times New Roman" w:hAnsi="Times New Roman" w:cs="Times New Roman"/>
                <w:color w:val="000000" w:themeColor="text1"/>
                <w:sz w:val="24"/>
                <w:highlight w:val="none"/>
                <w14:textFill>
                  <w14:solidFill>
                    <w14:schemeClr w14:val="tx1"/>
                  </w14:solidFill>
                </w14:textFill>
              </w:rPr>
              <w:t>项目喷漆及烘干废气设置套废气处理系统，喷漆及烘干废气经负压收集通过“水喷淋+干式过滤+蜂窝活性炭吸附浓缩+脱附催化燃烧处理后通过15m排气筒排放，</w:t>
            </w:r>
            <w:r>
              <w:rPr>
                <w:rFonts w:hint="default" w:ascii="Times New Roman" w:hAnsi="Times New Roman" w:cs="Times New Roman"/>
                <w:snapToGrid w:val="0"/>
                <w:color w:val="000000" w:themeColor="text1"/>
                <w:kern w:val="0"/>
                <w:sz w:val="24"/>
                <w:highlight w:val="none"/>
                <w14:textFill>
                  <w14:solidFill>
                    <w14:schemeClr w14:val="tx1"/>
                  </w14:solidFill>
                </w14:textFill>
              </w:rPr>
              <w:t>与符合</w:t>
            </w:r>
            <w:r>
              <w:rPr>
                <w:rFonts w:hint="default" w:ascii="Times New Roman" w:hAnsi="Times New Roman" w:cs="Times New Roman"/>
                <w:color w:val="000000" w:themeColor="text1"/>
                <w:sz w:val="24"/>
                <w:highlight w:val="none"/>
                <w14:textFill>
                  <w14:solidFill>
                    <w14:schemeClr w14:val="tx1"/>
                  </w14:solidFill>
                </w14:textFill>
              </w:rPr>
              <w:t>《衡阳市“十四五生态环境保护规划》相符</w:t>
            </w:r>
            <w:r>
              <w:rPr>
                <w:rFonts w:hint="default" w:ascii="Times New Roman" w:hAnsi="Times New Roman" w:cs="Times New Roman"/>
                <w:snapToGrid w:val="0"/>
                <w:color w:val="000000" w:themeColor="text1"/>
                <w:kern w:val="0"/>
                <w:sz w:val="24"/>
                <w:highlight w:val="none"/>
                <w14:textFill>
                  <w14:solidFill>
                    <w14:schemeClr w14:val="tx1"/>
                  </w14:solidFill>
                </w14:textFill>
              </w:rPr>
              <w:t>。</w:t>
            </w:r>
            <w:bookmarkEnd w:id="14"/>
          </w:p>
          <w:p w14:paraId="44D3D47C">
            <w:pPr>
              <w:spacing w:line="360" w:lineRule="auto"/>
              <w:ind w:firstLine="482" w:firstLineChars="200"/>
              <w:outlineLvl w:val="1"/>
              <w:rPr>
                <w:rFonts w:hint="default" w:ascii="Times New Roman" w:hAnsi="Times New Roman" w:cs="Times New Roman"/>
                <w:b/>
                <w:bCs/>
                <w:color w:val="000000" w:themeColor="text1"/>
                <w:sz w:val="24"/>
                <w:szCs w:val="28"/>
                <w:highlight w:val="none"/>
                <w:lang w:bidi="ar"/>
                <w14:textFill>
                  <w14:solidFill>
                    <w14:schemeClr w14:val="tx1"/>
                  </w14:solidFill>
                </w14:textFill>
              </w:rPr>
            </w:pPr>
            <w:bookmarkStart w:id="15" w:name="_Toc20134"/>
            <w:r>
              <w:rPr>
                <w:rFonts w:hint="default" w:ascii="Times New Roman" w:hAnsi="Times New Roman" w:cs="Times New Roman"/>
                <w:b/>
                <w:bCs/>
                <w:color w:val="000000" w:themeColor="text1"/>
                <w:sz w:val="24"/>
                <w:szCs w:val="28"/>
                <w:highlight w:val="none"/>
                <w:lang w:bidi="ar"/>
                <w14:textFill>
                  <w14:solidFill>
                    <w14:schemeClr w14:val="tx1"/>
                  </w14:solidFill>
                </w14:textFill>
              </w:rPr>
              <w:t>4、</w:t>
            </w:r>
            <w:r>
              <w:rPr>
                <w:rFonts w:hint="default" w:ascii="Times New Roman" w:hAnsi="Times New Roman" w:cs="Times New Roman"/>
                <w:b/>
                <w:bCs/>
                <w:color w:val="000000" w:themeColor="text1"/>
                <w:sz w:val="24"/>
                <w:highlight w:val="none"/>
                <w14:textFill>
                  <w14:solidFill>
                    <w14:schemeClr w14:val="tx1"/>
                  </w14:solidFill>
                </w14:textFill>
              </w:rPr>
              <w:t>与国家及地方其他相关政策符合性分析</w:t>
            </w:r>
            <w:bookmarkEnd w:id="15"/>
          </w:p>
          <w:p w14:paraId="0D8B821A">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本项目与《挥发性有机物（VOCs）污染防治技术政策》、《湖南省重点行业挥发性有机物污染控制指南（试行）》、《重点行业挥发性有机物综合治理方案》（环大气[2019]53 号）、《挥发性有机物无组织排放控制标准》（GB37822-2019）等政策文件的相符性分析见表1-5。</w:t>
            </w:r>
          </w:p>
          <w:p w14:paraId="3C0AC5E2">
            <w:pPr>
              <w:adjustRightInd w:val="0"/>
              <w:snapToGrid w:val="0"/>
              <w:jc w:val="center"/>
              <w:outlineLvl w:val="3"/>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表1-3  本项目与国家及地方相关政策的符合性分析一览表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2173"/>
              <w:gridCol w:w="3203"/>
              <w:gridCol w:w="1660"/>
            </w:tblGrid>
            <w:tr w14:paraId="7932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vAlign w:val="center"/>
                </w:tcPr>
                <w:p w14:paraId="04564FE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序号</w:t>
                  </w:r>
                </w:p>
              </w:tc>
              <w:tc>
                <w:tcPr>
                  <w:tcW w:w="1446" w:type="pct"/>
                  <w:vAlign w:val="center"/>
                </w:tcPr>
                <w:p w14:paraId="7E446B3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依据</w:t>
                  </w:r>
                </w:p>
              </w:tc>
              <w:tc>
                <w:tcPr>
                  <w:tcW w:w="2131" w:type="pct"/>
                  <w:vAlign w:val="center"/>
                </w:tcPr>
                <w:p w14:paraId="21D136E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条款</w:t>
                  </w:r>
                </w:p>
              </w:tc>
              <w:tc>
                <w:tcPr>
                  <w:tcW w:w="1104" w:type="pct"/>
                  <w:vAlign w:val="center"/>
                </w:tcPr>
                <w:p w14:paraId="72351350">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相符性</w:t>
                  </w:r>
                </w:p>
              </w:tc>
            </w:tr>
            <w:tr w14:paraId="68616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17" w:type="pct"/>
                  <w:vAlign w:val="center"/>
                </w:tcPr>
                <w:p w14:paraId="2D4F9A5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446" w:type="pct"/>
                  <w:vAlign w:val="center"/>
                </w:tcPr>
                <w:p w14:paraId="61E1265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挥发性有机物（VOCs）污染防治技术政策</w:t>
                  </w:r>
                </w:p>
              </w:tc>
              <w:tc>
                <w:tcPr>
                  <w:tcW w:w="2131" w:type="pct"/>
                  <w:vAlign w:val="center"/>
                </w:tcPr>
                <w:p w14:paraId="1589BC6B">
                  <w:pPr>
                    <w:numPr>
                      <w:ilvl w:val="0"/>
                      <w:numId w:val="4"/>
                    </w:numPr>
                    <w:adjustRightInd w:val="0"/>
                    <w:snapToGrid w:val="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总则</w:t>
                  </w:r>
                </w:p>
                <w:p w14:paraId="600E074C">
                  <w:pPr>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VOCs污染防治应遵循源头和过程控制与末端治理相结合的综合防治原则。在工业生产中采用清洁生产技术，严格控制含VOCs原料与产品在生产和储运销过程中的VOCs排放，鼓励对资源和能源的回收利用；鼓励在生产和生活中使用不含VOCs的替代产品或低VOCs含量的产品。</w:t>
                  </w:r>
                </w:p>
                <w:p w14:paraId="153AD1D1">
                  <w:pPr>
                    <w:adjustRightInd w:val="0"/>
                    <w:snapToGrid w:val="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三、末端治理与综合利用</w:t>
                  </w:r>
                </w:p>
                <w:p w14:paraId="0C900549">
                  <w:pPr>
                    <w:pStyle w:val="18"/>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2"/>
                      <w:sz w:val="21"/>
                      <w:szCs w:val="24"/>
                      <w:highlight w:val="none"/>
                      <w14:textFill>
                        <w14:solidFill>
                          <w14:schemeClr w14:val="tx1"/>
                        </w14:solidFill>
                      </w14:textFill>
                    </w:rPr>
                    <w:t>（十五）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1104" w:type="pct"/>
                  <w:vAlign w:val="center"/>
                </w:tcPr>
                <w:p w14:paraId="0C278A81">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p w14:paraId="63F92731">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项目喷漆及烘干废气设置1套废气处理系统，喷漆及烘干废气经负压收集通过“水喷淋+干式过滤+蜂窝活性炭吸附浓缩+脱附催化燃烧处理后通过15m排气筒排放。</w:t>
                  </w:r>
                </w:p>
              </w:tc>
            </w:tr>
            <w:tr w14:paraId="58BA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17" w:type="pct"/>
                  <w:vAlign w:val="center"/>
                </w:tcPr>
                <w:p w14:paraId="7B14A6C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1446" w:type="pct"/>
                  <w:vAlign w:val="center"/>
                </w:tcPr>
                <w:p w14:paraId="624EDEC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湖南省重点行业挥发性有机物污染控制指南（试行）</w:t>
                  </w:r>
                </w:p>
              </w:tc>
              <w:tc>
                <w:tcPr>
                  <w:tcW w:w="2131" w:type="pct"/>
                  <w:vAlign w:val="center"/>
                </w:tcPr>
                <w:p w14:paraId="06C58B62">
                  <w:pPr>
                    <w:numPr>
                      <w:ilvl w:val="0"/>
                      <w:numId w:val="5"/>
                    </w:num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性有机物污染控制应遵循“源头减排、过程管理、末端治理、稳定达标、总量控制、持续改进”的原则，落实重点监管企业“一企一策”，推广先进实用技术，普及自动控制技术，提高资源综合利用效率，减少废气污染物排放。</w:t>
                  </w:r>
                </w:p>
                <w:p w14:paraId="6380D137">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二）所有产生有机废气污染的企业，应优先采用低（无）VOCs含量的原辅材料，使用与之相配套的生产工艺和装备，从源头控制VOCs的产生；对产生VOCs的生产单元或工艺装置进行密闭，无法密闭的应设立局部气体收集系统，废气收集系统应保持负压状态，减少VOCs的无组织逸散；减少废气排放口数量，合并同类废气的排放口。</w:t>
                  </w:r>
                </w:p>
              </w:tc>
              <w:tc>
                <w:tcPr>
                  <w:tcW w:w="1104" w:type="pct"/>
                  <w:vAlign w:val="center"/>
                </w:tcPr>
                <w:p w14:paraId="5FE72809">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p w14:paraId="41F7C12E">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项目喷漆及烘干废气设置1套废气处理系统，喷漆及烘干废气经负压收集通过“水喷淋+干式过滤+蜂窝活性炭吸附浓缩+脱附催化燃烧处理后通过15m排气筒排放。</w:t>
                  </w:r>
                </w:p>
              </w:tc>
            </w:tr>
            <w:tr w14:paraId="16D7C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17" w:type="pct"/>
                  <w:vAlign w:val="center"/>
                </w:tcPr>
                <w:p w14:paraId="10A5A30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1446" w:type="pct"/>
                  <w:vAlign w:val="center"/>
                </w:tcPr>
                <w:p w14:paraId="3D6B2392">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《重点行业挥发性有机物综合治理方案》（环大气[2019]53 号）</w:t>
                  </w:r>
                </w:p>
              </w:tc>
              <w:tc>
                <w:tcPr>
                  <w:tcW w:w="2131" w:type="pct"/>
                  <w:vAlign w:val="center"/>
                </w:tcPr>
                <w:p w14:paraId="52407972">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（一）通过使用水性、粉末、高固体分、无溶剂、辐射固化等低VOCs 含量的涂料，水性、辐射固化、植物基等低VOCs 含量的油墨，水基、热熔、无溶剂、辐射固化、改性、生物降解等低VOCs 含量的胶粘剂，以及低VOCs 含量、低反应活性的清洗剂等，替代溶剂型涂料、油墨、胶粘剂、清洗剂等，从源头减少VOCs 产生。</w:t>
                  </w:r>
                </w:p>
                <w:p w14:paraId="0E7FE95A">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（二）加强油墨、稀释剂、胶粘剂、涂布液、清洗剂等含</w:t>
                  </w:r>
                  <w:r>
                    <w:rPr>
                      <w:rFonts w:hint="default" w:ascii="Times New Roman" w:hAnsi="Times New Roman" w:eastAsia="TimesNewRomanPSMT" w:cs="Times New Roman"/>
                      <w:color w:val="000000" w:themeColor="text1"/>
                      <w:highlight w:val="none"/>
                      <w14:textFill>
                        <w14:solidFill>
                          <w14:schemeClr w14:val="tx1"/>
                        </w14:solidFill>
                      </w14:textFill>
                    </w:rPr>
                    <w:t xml:space="preserve">VOCs </w:t>
                  </w:r>
                  <w:r>
                    <w:rPr>
                      <w:rFonts w:hint="default" w:ascii="Times New Roman" w:hAnsi="Times New Roman" w:cs="Times New Roman"/>
                      <w:color w:val="000000" w:themeColor="text1"/>
                      <w:highlight w:val="none"/>
                      <w14:textFill>
                        <w14:solidFill>
                          <w14:schemeClr w14:val="tx1"/>
                        </w14:solidFill>
                      </w14:textFill>
                    </w:rPr>
                    <w:t>物料储存、调配、输送、使用等工艺环节</w:t>
                  </w:r>
                  <w:r>
                    <w:rPr>
                      <w:rFonts w:hint="default" w:ascii="Times New Roman" w:hAnsi="Times New Roman" w:eastAsia="TimesNewRomanPSMT" w:cs="Times New Roman"/>
                      <w:color w:val="000000" w:themeColor="text1"/>
                      <w:highlight w:val="none"/>
                      <w14:textFill>
                        <w14:solidFill>
                          <w14:schemeClr w14:val="tx1"/>
                        </w14:solidFill>
                      </w14:textFill>
                    </w:rPr>
                    <w:t xml:space="preserve">VOCs </w:t>
                  </w:r>
                  <w:r>
                    <w:rPr>
                      <w:rFonts w:hint="default" w:ascii="Times New Roman" w:hAnsi="Times New Roman" w:cs="Times New Roman"/>
                      <w:color w:val="000000" w:themeColor="text1"/>
                      <w:highlight w:val="none"/>
                      <w14:textFill>
                        <w14:solidFill>
                          <w14:schemeClr w14:val="tx1"/>
                        </w14:solidFill>
                      </w14:textFill>
                    </w:rPr>
                    <w:t>无组织逸散控制。含</w:t>
                  </w:r>
                  <w:r>
                    <w:rPr>
                      <w:rFonts w:hint="default" w:ascii="Times New Roman" w:hAnsi="Times New Roman" w:eastAsia="TimesNewRomanPSMT" w:cs="Times New Roman"/>
                      <w:color w:val="000000" w:themeColor="text1"/>
                      <w:highlight w:val="none"/>
                      <w14:textFill>
                        <w14:solidFill>
                          <w14:schemeClr w14:val="tx1"/>
                        </w14:solidFill>
                      </w14:textFill>
                    </w:rPr>
                    <w:t>VOCs</w:t>
                  </w:r>
                  <w:r>
                    <w:rPr>
                      <w:rFonts w:hint="default" w:ascii="Times New Roman" w:hAnsi="Times New Roman" w:cs="Times New Roman"/>
                      <w:color w:val="000000" w:themeColor="text1"/>
                      <w:highlight w:val="none"/>
                      <w14:textFill>
                        <w14:solidFill>
                          <w14:schemeClr w14:val="tx1"/>
                        </w14:solidFill>
                      </w14:textFill>
                    </w:rPr>
                    <w:t>物料储存和输送过程应保持密闭。调配应在密闭装置或空间内进行并有效收集，非即用状态应加盖密封。涂布、印刷、覆膜、复合、上光、清洗等含</w:t>
                  </w:r>
                  <w:r>
                    <w:rPr>
                      <w:rFonts w:hint="default" w:ascii="Times New Roman" w:hAnsi="Times New Roman" w:eastAsia="TimesNewRomanPSMT" w:cs="Times New Roman"/>
                      <w:color w:val="000000" w:themeColor="text1"/>
                      <w:highlight w:val="none"/>
                      <w14:textFill>
                        <w14:solidFill>
                          <w14:schemeClr w14:val="tx1"/>
                        </w14:solidFill>
                      </w14:textFill>
                    </w:rPr>
                    <w:t xml:space="preserve">VOCs </w:t>
                  </w:r>
                  <w:r>
                    <w:rPr>
                      <w:rFonts w:hint="default" w:ascii="Times New Roman" w:hAnsi="Times New Roman" w:cs="Times New Roman"/>
                      <w:color w:val="000000" w:themeColor="text1"/>
                      <w:highlight w:val="none"/>
                      <w14:textFill>
                        <w14:solidFill>
                          <w14:schemeClr w14:val="tx1"/>
                        </w14:solidFill>
                      </w14:textFill>
                    </w:rPr>
                    <w:t>物料使用过程应采用密闭设备或在密闭空间内操作；无法密闭的，应采取局部气体收集措施，废气排至</w:t>
                  </w:r>
                  <w:r>
                    <w:rPr>
                      <w:rFonts w:hint="default" w:ascii="Times New Roman" w:hAnsi="Times New Roman" w:eastAsia="TimesNewRomanPSMT" w:cs="Times New Roman"/>
                      <w:color w:val="000000" w:themeColor="text1"/>
                      <w:highlight w:val="none"/>
                      <w14:textFill>
                        <w14:solidFill>
                          <w14:schemeClr w14:val="tx1"/>
                        </w14:solidFill>
                      </w14:textFill>
                    </w:rPr>
                    <w:t xml:space="preserve">VOCs </w:t>
                  </w:r>
                  <w:r>
                    <w:rPr>
                      <w:rFonts w:hint="default" w:ascii="Times New Roman" w:hAnsi="Times New Roman" w:cs="Times New Roman"/>
                      <w:color w:val="000000" w:themeColor="text1"/>
                      <w:highlight w:val="none"/>
                      <w14:textFill>
                        <w14:solidFill>
                          <w14:schemeClr w14:val="tx1"/>
                        </w14:solidFill>
                      </w14:textFill>
                    </w:rPr>
                    <w:t>废气收集系统。凹版、柔版印刷机宜采用封闭刮刀，或通过安装盖板、改变墨槽开口形状等措施减少墨槽无组织逸散。鼓励重点区域印刷企业对涉</w:t>
                  </w:r>
                  <w:r>
                    <w:rPr>
                      <w:rFonts w:hint="default" w:ascii="Times New Roman" w:hAnsi="Times New Roman" w:eastAsia="TimesNewRomanPSMT" w:cs="Times New Roman"/>
                      <w:color w:val="000000" w:themeColor="text1"/>
                      <w:highlight w:val="none"/>
                      <w14:textFill>
                        <w14:solidFill>
                          <w14:schemeClr w14:val="tx1"/>
                        </w14:solidFill>
                      </w14:textFill>
                    </w:rPr>
                    <w:t xml:space="preserve">VOCs </w:t>
                  </w:r>
                  <w:r>
                    <w:rPr>
                      <w:rFonts w:hint="default" w:ascii="Times New Roman" w:hAnsi="Times New Roman" w:cs="Times New Roman"/>
                      <w:color w:val="000000" w:themeColor="text1"/>
                      <w:highlight w:val="none"/>
                      <w14:textFill>
                        <w14:solidFill>
                          <w14:schemeClr w14:val="tx1"/>
                        </w14:solidFill>
                      </w14:textFill>
                    </w:rPr>
                    <w:t>排放车间进行负压改造或局部围风改造。</w:t>
                  </w:r>
                </w:p>
                <w:p w14:paraId="5C27DA7D">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（三）提高废气收集率。……采用局部集气罩的，距集气罩开口面最远处的VOCs 无组织排放位置，控制风速应不低于0.3 米/秒，有行业要求的按相关规定执行。</w:t>
                  </w:r>
                </w:p>
              </w:tc>
              <w:tc>
                <w:tcPr>
                  <w:tcW w:w="1104" w:type="pct"/>
                  <w:vAlign w:val="center"/>
                </w:tcPr>
                <w:p w14:paraId="7FF5E178">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项目使用的原辅材料主要为各类油漆，项目不涉及使用高VOCs 含量的原辅材料。项目喷漆及烘干废气设置1套废气处理系统，喷漆及烘干废气经负压收集通过“水喷淋+干式过滤+蜂窝活性炭吸附浓缩+脱附催化燃烧处理后通过15m排气筒排放。本项目有机废气设置集气罩收集，风量控制风速按大于0.3米/秒进行核算，以保证收集效率。</w:t>
                  </w:r>
                </w:p>
              </w:tc>
            </w:tr>
            <w:tr w14:paraId="443D4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jc w:val="center"/>
              </w:trPr>
              <w:tc>
                <w:tcPr>
                  <w:tcW w:w="317" w:type="pct"/>
                  <w:vAlign w:val="center"/>
                </w:tcPr>
                <w:p w14:paraId="6EED03D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w:t>
                  </w:r>
                </w:p>
              </w:tc>
              <w:tc>
                <w:tcPr>
                  <w:tcW w:w="1446" w:type="pct"/>
                  <w:vAlign w:val="center"/>
                </w:tcPr>
                <w:p w14:paraId="15B9C6D2">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《挥发性有机物无组织排放控制标准》</w:t>
                  </w:r>
                  <w:r>
                    <w:rPr>
                      <w:rFonts w:hint="default" w:ascii="Times New Roman" w:hAnsi="Times New Roman" w:cs="Times New Roman"/>
                      <w:color w:val="000000" w:themeColor="text1"/>
                      <w:szCs w:val="21"/>
                      <w:highlight w:val="none"/>
                      <w14:textFill>
                        <w14:solidFill>
                          <w14:schemeClr w14:val="tx1"/>
                        </w14:solidFill>
                      </w14:textFill>
                    </w:rPr>
                    <w:t>（GB37822-2019）</w:t>
                  </w:r>
                </w:p>
              </w:tc>
              <w:tc>
                <w:tcPr>
                  <w:tcW w:w="2131" w:type="pct"/>
                  <w:vAlign w:val="center"/>
                </w:tcPr>
                <w:p w14:paraId="130D2D40">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一、VOCs 物料储存无组织排放控制要求：VOCs 物料应储存于密闭的容器、包装袋、储罐、储库、料仓中。</w:t>
                  </w:r>
                </w:p>
                <w:p w14:paraId="7B8DA43F">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盛装 VOCs 物料的容器或包装袋应存放于室内，或存放于设置有雨棚、遮阳和防渗设施的专用场地。盛装 VOCs物料的容器或包装袋在非取用状态时应加盖、封口，保持密团。</w:t>
                  </w:r>
                </w:p>
                <w:p w14:paraId="03E30757">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二、VOCs 物料转移和输送无组织排放控制要求：粉状、粒状 VOCs 物料应采用气力输送设备、管状带式输送机、螺旋输送机等密闭输送方式，或者采用密闭的包装袋、容器或罐车进行物料转移。</w:t>
                  </w:r>
                </w:p>
                <w:p w14:paraId="379D5139">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三、工艺过程VOCs 无组织排放控制要求：粉状、粒状VOCs 物料应采用气力输送方式或采用密闭固体投料器等给料方式密闭投加。无法密闭投加的，应在密闭空间内操作，或进行局部气体收集，废气应排至除尘设施、VOCs 废气收集处理系统。</w:t>
                  </w:r>
                </w:p>
                <w:p w14:paraId="2941CF86">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四、含VOCs 产品的使用过程：有机聚合物产品用于制品生产的过程，在混合/混炼、塑炼/塑化/熔化、加工成型（挤出、注射、压制、压延、发泡、纺丝等）等作业中应采用密闭设备或在密闭空间内操作，废气应排至VOCs 废气收集处理系统；无法密闭的，应采取局部气体收集措施，废气应排至VOCs 废气收集处理系统。</w:t>
                  </w:r>
                </w:p>
              </w:tc>
              <w:tc>
                <w:tcPr>
                  <w:tcW w:w="1104" w:type="pct"/>
                  <w:vAlign w:val="center"/>
                </w:tcPr>
                <w:p w14:paraId="5CC31D06">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原料使用为各类油漆，采用桶进行包装。暂存于厂内仓库中，在非取用状态时，桶装封口，采用密闭容器储存。本项目项目喷漆及烘干废气设置1套废气处理系统，喷漆及烘干废气经负压收集通过“水喷淋+干式过滤+蜂窝活性炭吸附浓缩+脱附催化燃烧处理后通过15m排气筒排放。</w:t>
                  </w:r>
                </w:p>
              </w:tc>
            </w:tr>
          </w:tbl>
          <w:p w14:paraId="7D833DDB">
            <w:pPr>
              <w:spacing w:line="360" w:lineRule="auto"/>
              <w:ind w:firstLine="480" w:firstLineChars="200"/>
              <w:outlineLvl w:val="1"/>
              <w:rPr>
                <w:rFonts w:hint="default" w:ascii="Times New Roman" w:hAnsi="Times New Roman" w:cs="Times New Roman"/>
                <w:b/>
                <w:bCs/>
                <w:color w:val="000000" w:themeColor="text1"/>
                <w:sz w:val="24"/>
                <w:szCs w:val="28"/>
                <w:highlight w:val="none"/>
                <w:lang w:bidi="ar"/>
                <w14:textFill>
                  <w14:solidFill>
                    <w14:schemeClr w14:val="tx1"/>
                  </w14:solidFill>
                </w14:textFill>
              </w:rPr>
            </w:pPr>
            <w:bookmarkStart w:id="16" w:name="_Toc9503"/>
            <w:r>
              <w:rPr>
                <w:rFonts w:hint="default" w:ascii="Times New Roman" w:hAnsi="Times New Roman" w:cs="Times New Roman"/>
                <w:color w:val="000000" w:themeColor="text1"/>
                <w:sz w:val="24"/>
                <w:highlight w:val="none"/>
                <w14:textFill>
                  <w14:solidFill>
                    <w14:schemeClr w14:val="tx1"/>
                  </w14:solidFill>
                </w14:textFill>
              </w:rPr>
              <w:t>由上表可知，本项目的建设符合《挥发性有机物（VOCs）污染防治技术政策》、《湖南省重点行业挥发性有机物污染控制指南（试行）》、《重点行业挥发性有机物综合治理方案》（环大气[2019]53 号）、《挥发性有机物无组织排放控制标准》（GB37822-2019）</w:t>
            </w:r>
            <w:r>
              <w:rPr>
                <w:rFonts w:hint="default" w:ascii="Times New Roman" w:hAnsi="Times New Roman" w:cs="Times New Roman"/>
                <w:color w:val="000000" w:themeColor="text1"/>
                <w:spacing w:val="4"/>
                <w:kern w:val="0"/>
                <w:sz w:val="24"/>
                <w:highlight w:val="none"/>
                <w14:textFill>
                  <w14:solidFill>
                    <w14:schemeClr w14:val="tx1"/>
                  </w14:solidFill>
                </w14:textFill>
              </w:rPr>
              <w:t>。</w:t>
            </w:r>
            <w:bookmarkEnd w:id="16"/>
          </w:p>
          <w:p w14:paraId="2EE8FF08">
            <w:pPr>
              <w:spacing w:line="360" w:lineRule="auto"/>
              <w:ind w:firstLine="482" w:firstLineChars="200"/>
              <w:outlineLvl w:val="1"/>
              <w:rPr>
                <w:rFonts w:hint="default" w:ascii="Times New Roman" w:hAnsi="Times New Roman" w:cs="Times New Roman"/>
                <w:b/>
                <w:bCs/>
                <w:color w:val="000000" w:themeColor="text1"/>
                <w:sz w:val="24"/>
                <w:szCs w:val="28"/>
                <w:highlight w:val="none"/>
                <w:lang w:bidi="ar"/>
                <w14:textFill>
                  <w14:solidFill>
                    <w14:schemeClr w14:val="tx1"/>
                  </w14:solidFill>
                </w14:textFill>
              </w:rPr>
            </w:pPr>
            <w:bookmarkStart w:id="17" w:name="_Toc2722"/>
            <w:r>
              <w:rPr>
                <w:rFonts w:hint="default" w:ascii="Times New Roman" w:hAnsi="Times New Roman" w:cs="Times New Roman"/>
                <w:b/>
                <w:bCs/>
                <w:color w:val="000000" w:themeColor="text1"/>
                <w:sz w:val="24"/>
                <w:szCs w:val="28"/>
                <w:highlight w:val="none"/>
                <w:lang w:bidi="ar"/>
                <w14:textFill>
                  <w14:solidFill>
                    <w14:schemeClr w14:val="tx1"/>
                  </w14:solidFill>
                </w14:textFill>
              </w:rPr>
              <w:t>5、与“三线一单”相符性分析</w:t>
            </w:r>
            <w:bookmarkEnd w:id="9"/>
            <w:bookmarkEnd w:id="10"/>
            <w:bookmarkEnd w:id="17"/>
          </w:p>
          <w:p w14:paraId="3B8CB52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（1）生态保护红线</w:t>
            </w:r>
          </w:p>
          <w:p w14:paraId="200DFAC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湖南省人民政府关于印发〈湖南省生态保护红线〉的通知》（湘政发〔2018〕20号）划定结果，湖南省生态保护红线划定面积为4.28万km2，占全省国土面积的20.23%。全省生态保护红线空间格局为“一湖三山四水”：“一湖”为洞庭湖（主要包括东洞庭湖、南洞庭湖、横岭湖、西洞庭湖等自然保护区和长江岸线），主要生态功能为生物多样性维护、洪水调蓄。“三山”包括武陵-雪峰山脉生态屏障，主要生态功能为生物多样性维护与水土保持；罗霄-幕阜山脉生态屏障，主要生态功能为生物多样性维护、水源涵养和水土保持；南岭山脉生态屏障，主要生态功能为水源涵养和生物多样性维护，其中南岭山脉生态屏障是南方丘陵山地带的重要组成部分。“四水”为湘资沅澧（湘江、资水、沅江、澧水）的源头区及重要水域。</w:t>
            </w:r>
          </w:p>
          <w:p w14:paraId="535954F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本项目位于</w:t>
            </w:r>
            <w:r>
              <w:rPr>
                <w:rFonts w:hint="default" w:ascii="Times New Roman" w:hAnsi="Times New Roman" w:cs="Times New Roman"/>
                <w:color w:val="000000" w:themeColor="text1"/>
                <w:kern w:val="0"/>
                <w:sz w:val="24"/>
                <w:highlight w:val="none"/>
                <w14:textFill>
                  <w14:solidFill>
                    <w14:schemeClr w14:val="tx1"/>
                  </w14:solidFill>
                </w14:textFill>
              </w:rPr>
              <w:t>衡东经济开发区大浦工业园内</w:t>
            </w:r>
            <w:r>
              <w:rPr>
                <w:rFonts w:hint="default" w:ascii="Times New Roman" w:hAnsi="Times New Roman" w:cs="Times New Roman"/>
                <w:color w:val="000000" w:themeColor="text1"/>
                <w:sz w:val="24"/>
                <w:highlight w:val="none"/>
                <w14:textFill>
                  <w14:solidFill>
                    <w14:schemeClr w14:val="tx1"/>
                  </w14:solidFill>
                </w14:textFill>
              </w:rPr>
              <w:t>，根据《湖南省人民政府关于印发&lt;湖南省生态保护红线&gt;的通知》（湘政发〔2018〕20号），本项目不在生态保护红线范围内。</w:t>
            </w:r>
          </w:p>
          <w:p w14:paraId="251D70E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（2）环境质量底线</w:t>
            </w:r>
          </w:p>
          <w:p w14:paraId="7582353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区域环境空气属于《环境空气质量标准》（GB3095-2012）中二类功能区、地表水水环境功能属于《地表水环境质量标准》（GB3838-2002）中Ⅲ类功能区、区域声环境属于《声环境质量标准》（GB3096-2008）中3类功能区。本项目产生的“三废”均能有效处理，采取相应治理措施后可达标排放。因此本项目建设不会对当地环境质量底线造成冲击。</w:t>
            </w:r>
          </w:p>
          <w:p w14:paraId="1F3FBE1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（3）资源利用上线</w:t>
            </w:r>
          </w:p>
          <w:p w14:paraId="6B6C6D2B">
            <w:pPr>
              <w:spacing w:line="360" w:lineRule="auto"/>
              <w:ind w:firstLine="480" w:firstLineChars="200"/>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项目内用水主要来源为自来水；项目用电由当地电网供电，项目建设不涉及基本农田，土地资源消耗符合相关要求。因此项目符合资源利用上线要求。</w:t>
            </w:r>
          </w:p>
          <w:p w14:paraId="39A4EB48">
            <w:pPr>
              <w:spacing w:line="360" w:lineRule="auto"/>
              <w:ind w:firstLine="480" w:firstLineChars="200"/>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（4）生态环境准入清单</w:t>
            </w:r>
          </w:p>
          <w:p w14:paraId="06E2E8ED">
            <w:pPr>
              <w:spacing w:line="360" w:lineRule="auto"/>
              <w:ind w:firstLine="480" w:firstLineChars="200"/>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根据《</w:t>
            </w:r>
            <w:bookmarkStart w:id="18" w:name="OLE_LINK1"/>
            <w:r>
              <w:rPr>
                <w:rFonts w:hint="default" w:ascii="Times New Roman" w:hAnsi="Times New Roman" w:cs="Times New Roman"/>
                <w:bCs/>
                <w:color w:val="000000" w:themeColor="text1"/>
                <w:sz w:val="24"/>
                <w:highlight w:val="none"/>
                <w14:textFill>
                  <w14:solidFill>
                    <w14:schemeClr w14:val="tx1"/>
                  </w14:solidFill>
                </w14:textFill>
              </w:rPr>
              <w:t>湖南省生态环境分区管控总体管控要求暨省级以上产业园区生态环境准入清单（2023版）</w:t>
            </w:r>
            <w:bookmarkEnd w:id="18"/>
            <w:r>
              <w:rPr>
                <w:rFonts w:hint="default" w:ascii="Times New Roman" w:hAnsi="Times New Roman" w:cs="Times New Roman"/>
                <w:bCs/>
                <w:color w:val="000000" w:themeColor="text1"/>
                <w:sz w:val="24"/>
                <w:highlight w:val="none"/>
                <w14:textFill>
                  <w14:solidFill>
                    <w14:schemeClr w14:val="tx1"/>
                  </w14:solidFill>
                </w14:textFill>
              </w:rPr>
              <w:t>》，本项目所在的湖南衡东经济开发区属于重点管控单元（管控编码为ZH43042420003），具体符合性分析见下表。：</w:t>
            </w:r>
          </w:p>
          <w:p w14:paraId="4A0E6F50">
            <w:pPr>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Cs w:val="21"/>
                <w:highlight w:val="none"/>
                <w14:textFill>
                  <w14:solidFill>
                    <w14:schemeClr w14:val="tx1"/>
                  </w14:solidFill>
                </w14:textFill>
              </w:rPr>
              <w:t>表1-4  项目与《湖南省生态环境分区管控总体管控要求暨省级以上产业园区生态环境准入清单（2023版）》符合性分析</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4501"/>
              <w:gridCol w:w="2060"/>
              <w:gridCol w:w="477"/>
            </w:tblGrid>
            <w:tr w14:paraId="3CB34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26D13824">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bidi="en-US"/>
                      <w14:textFill>
                        <w14:solidFill>
                          <w14:schemeClr w14:val="tx1"/>
                        </w14:solidFill>
                      </w14:textFill>
                    </w:rPr>
                    <w:t>管控维度</w:t>
                  </w:r>
                </w:p>
              </w:tc>
              <w:tc>
                <w:tcPr>
                  <w:tcW w:w="2994" w:type="pct"/>
                  <w:vAlign w:val="center"/>
                </w:tcPr>
                <w:p w14:paraId="43637C05">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管控要求</w:t>
                  </w:r>
                </w:p>
              </w:tc>
              <w:tc>
                <w:tcPr>
                  <w:tcW w:w="1370" w:type="pct"/>
                  <w:vAlign w:val="center"/>
                </w:tcPr>
                <w:p w14:paraId="5A999578">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w:t>
                  </w:r>
                </w:p>
              </w:tc>
              <w:tc>
                <w:tcPr>
                  <w:tcW w:w="317" w:type="pct"/>
                  <w:vAlign w:val="center"/>
                </w:tcPr>
                <w:p w14:paraId="51080BA3">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符合性</w:t>
                  </w:r>
                </w:p>
              </w:tc>
            </w:tr>
            <w:tr w14:paraId="196FB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45AD0C15">
                  <w:pPr>
                    <w:pStyle w:val="94"/>
                    <w:rPr>
                      <w:rFonts w:hint="default" w:ascii="Times New Roman" w:hAnsi="Times New Roman" w:cs="Times New Roman"/>
                      <w:color w:val="000000" w:themeColor="text1"/>
                      <w:szCs w:val="21"/>
                      <w:highlight w:val="none"/>
                      <w:lang w:bidi="en-US"/>
                      <w14:textFill>
                        <w14:solidFill>
                          <w14:schemeClr w14:val="tx1"/>
                        </w14:solidFill>
                      </w14:textFill>
                    </w:rPr>
                  </w:pPr>
                  <w:r>
                    <w:rPr>
                      <w:rFonts w:hint="default" w:ascii="Times New Roman" w:hAnsi="Times New Roman" w:cs="Times New Roman"/>
                      <w:color w:val="000000" w:themeColor="text1"/>
                      <w:szCs w:val="21"/>
                      <w:highlight w:val="none"/>
                      <w:lang w:bidi="en-US"/>
                      <w14:textFill>
                        <w14:solidFill>
                          <w14:schemeClr w14:val="tx1"/>
                        </w14:solidFill>
                      </w14:textFill>
                    </w:rPr>
                    <w:t>主导产业</w:t>
                  </w:r>
                </w:p>
              </w:tc>
              <w:tc>
                <w:tcPr>
                  <w:tcW w:w="2994" w:type="pct"/>
                  <w:vAlign w:val="center"/>
                </w:tcPr>
                <w:p w14:paraId="1AB56D27">
                  <w:pPr>
                    <w:pStyle w:val="94"/>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湘环评函[2023〕24号:大浦工业园:化工片区主要发展化学原料和化学制品制遗业、医药制造业，湖南有色衡东氟化学有限公司厂区范围基于已有氟化学品制造产业，规划发展化学原料和化学制品制造业，大浦工业园其他区域规划与2022年规划环评论证的内容基本保持不变，主要发展电气机械和器材制造业、有色金属冶炼和压延加工业及非金属矿物制品产业;印章文化产业园:主要发展印章产业(文教办公用品产业)。泵业智造产业园:主要发展电气机械和器材制造产业</w:t>
                  </w:r>
                </w:p>
              </w:tc>
              <w:tc>
                <w:tcPr>
                  <w:tcW w:w="1370" w:type="pct"/>
                  <w:vAlign w:val="center"/>
                </w:tcPr>
                <w:p w14:paraId="3D293DBF">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本项目位于大浦工业园，</w:t>
                  </w:r>
                  <w:r>
                    <w:rPr>
                      <w:rFonts w:hint="default" w:ascii="Times New Roman" w:hAnsi="Times New Roman" w:cs="Times New Roman"/>
                      <w:color w:val="000000" w:themeColor="text1"/>
                      <w:spacing w:val="-6"/>
                      <w:kern w:val="2"/>
                      <w:szCs w:val="21"/>
                      <w:highlight w:val="none"/>
                      <w14:textFill>
                        <w14:solidFill>
                          <w14:schemeClr w14:val="tx1"/>
                        </w14:solidFill>
                      </w14:textFill>
                    </w:rPr>
                    <w:t>生产工程机械结构件，为</w:t>
                  </w:r>
                  <w:r>
                    <w:rPr>
                      <w:rFonts w:hint="default" w:ascii="Times New Roman" w:hAnsi="Times New Roman" w:cs="Times New Roman"/>
                      <w:color w:val="000000" w:themeColor="text1"/>
                      <w:szCs w:val="21"/>
                      <w:highlight w:val="none"/>
                      <w14:textFill>
                        <w14:solidFill>
                          <w14:schemeClr w14:val="tx1"/>
                        </w14:solidFill>
                      </w14:textFill>
                    </w:rPr>
                    <w:t>电气机械和器材制造业</w:t>
                  </w:r>
                  <w:r>
                    <w:rPr>
                      <w:rFonts w:hint="default" w:ascii="Times New Roman" w:hAnsi="Times New Roman" w:cs="Times New Roman"/>
                      <w:color w:val="000000" w:themeColor="text1"/>
                      <w:spacing w:val="-6"/>
                      <w:kern w:val="2"/>
                      <w:szCs w:val="21"/>
                      <w:highlight w:val="none"/>
                      <w14:textFill>
                        <w14:solidFill>
                          <w14:schemeClr w14:val="tx1"/>
                        </w14:solidFill>
                      </w14:textFill>
                    </w:rPr>
                    <w:t>，符合园区主导产业</w:t>
                  </w:r>
                </w:p>
              </w:tc>
              <w:tc>
                <w:tcPr>
                  <w:tcW w:w="317" w:type="pct"/>
                  <w:vAlign w:val="center"/>
                </w:tcPr>
                <w:p w14:paraId="72329449">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1241F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6D77CEBF">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空间布局约束</w:t>
                  </w:r>
                </w:p>
              </w:tc>
              <w:tc>
                <w:tcPr>
                  <w:tcW w:w="2994" w:type="pct"/>
                  <w:vAlign w:val="center"/>
                </w:tcPr>
                <w:p w14:paraId="28437105">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(1.1)做好空问功能布局规划，将环境影响较大的工业项目尽可能远离集镇、安置小区布局。</w:t>
                  </w:r>
                </w:p>
                <w:p w14:paraId="3E539B91">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(1.2)杜绝在规划的工业用地上新增环境敏感目标，尽可能避免大浦镇区向化工片区方向扩张，构建化工片区与城镇居住区间的生态廊道。</w:t>
                  </w:r>
                </w:p>
                <w:p w14:paraId="2883DFD8">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化工片区新引进的产业项目应当符合化工片区的产业定位，在项目引进过程中加强化工片区的集约化布局，促进化工片区资源的高效利用与污染集中治理。在2022年已认定的化工片区南侧边界外设置二类工业用地以缓冲环境影响。</w:t>
                  </w:r>
                </w:p>
                <w:p w14:paraId="662F36F6">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(1.4)化工片区:化工片区与城市建成区、人口密集区、重要设施等防护目标之同的外部安全防护距离应满足相关标准要求。</w:t>
                  </w:r>
                </w:p>
              </w:tc>
              <w:tc>
                <w:tcPr>
                  <w:tcW w:w="1370" w:type="pct"/>
                  <w:vAlign w:val="center"/>
                </w:tcPr>
                <w:p w14:paraId="3C5C5EDF">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w:t>
                  </w:r>
                  <w:bookmarkStart w:id="19" w:name="OLE_LINK2"/>
                  <w:r>
                    <w:rPr>
                      <w:rFonts w:hint="default" w:ascii="Times New Roman" w:hAnsi="Times New Roman" w:cs="Times New Roman"/>
                      <w:color w:val="000000" w:themeColor="text1"/>
                      <w:spacing w:val="-6"/>
                      <w:kern w:val="2"/>
                      <w:szCs w:val="21"/>
                      <w:highlight w:val="none"/>
                      <w14:textFill>
                        <w14:solidFill>
                          <w14:schemeClr w14:val="tx1"/>
                        </w14:solidFill>
                      </w14:textFill>
                    </w:rPr>
                    <w:t>生产工程机械结构件，为</w:t>
                  </w:r>
                  <w:r>
                    <w:rPr>
                      <w:rFonts w:hint="default" w:ascii="Times New Roman" w:hAnsi="Times New Roman" w:cs="Times New Roman"/>
                      <w:color w:val="000000" w:themeColor="text1"/>
                      <w:szCs w:val="21"/>
                      <w:highlight w:val="none"/>
                      <w14:textFill>
                        <w14:solidFill>
                          <w14:schemeClr w14:val="tx1"/>
                        </w14:solidFill>
                      </w14:textFill>
                    </w:rPr>
                    <w:t>电气机械和器材制造业</w:t>
                  </w:r>
                  <w:r>
                    <w:rPr>
                      <w:rFonts w:hint="default" w:ascii="Times New Roman" w:hAnsi="Times New Roman" w:cs="Times New Roman"/>
                      <w:color w:val="000000" w:themeColor="text1"/>
                      <w:spacing w:val="-6"/>
                      <w:kern w:val="2"/>
                      <w:szCs w:val="21"/>
                      <w:highlight w:val="none"/>
                      <w14:textFill>
                        <w14:solidFill>
                          <w14:schemeClr w14:val="tx1"/>
                        </w14:solidFill>
                      </w14:textFill>
                    </w:rPr>
                    <w:t>，</w:t>
                  </w:r>
                  <w:bookmarkEnd w:id="19"/>
                  <w:r>
                    <w:rPr>
                      <w:rFonts w:hint="default" w:ascii="Times New Roman" w:hAnsi="Times New Roman" w:cs="Times New Roman"/>
                      <w:color w:val="000000" w:themeColor="text1"/>
                      <w:szCs w:val="21"/>
                      <w:highlight w:val="none"/>
                      <w14:textFill>
                        <w14:solidFill>
                          <w14:schemeClr w14:val="tx1"/>
                        </w14:solidFill>
                      </w14:textFill>
                    </w:rPr>
                    <w:t>不属于禁止引进的印泥、印油生产企业，不属于环境影响较大的工业项目，不属于化工企业。项目厂界与最近的居民点约57m，喷漆区距离最近的居民点约226m，项目与居民、学校等敏感区域较远。</w:t>
                  </w:r>
                </w:p>
              </w:tc>
              <w:tc>
                <w:tcPr>
                  <w:tcW w:w="317" w:type="pct"/>
                  <w:vAlign w:val="center"/>
                </w:tcPr>
                <w:p w14:paraId="3EB0733E">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68BE6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06AFB7CC">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污染物排放管控</w:t>
                  </w:r>
                </w:p>
              </w:tc>
              <w:tc>
                <w:tcPr>
                  <w:tcW w:w="2994" w:type="pct"/>
                </w:tcPr>
                <w:p w14:paraId="1E2AB892">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废水:完善经开区名产业园污水管网及集中处理设施建设，实行雨污分流、污污分流，确保经开区生产生活废水应收尽收，集中纳入各污水处理厂处理，应针对拟引进产业项目的污染排放特征做好大浦工业园片区污水处理厂的提质改造，经开区不得超过污水处理厂的处理能力和入河排污口审批所规定的废水排放量引进项目，(2.1.1)化工片区:化工片区应按照分类收集、分质处理的要求，配备专业化工生产废水集中处理设施(独立建设或依托骨千企业)及专管或明管输送的配套管网，废水做到应纳尽纳。集中处理和达标排放。</w:t>
                  </w:r>
                </w:p>
                <w:p w14:paraId="67F77A00">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(2.2)废气:经开区应推进清洁能源改造，采取有效措施减少污染物排放总量，加强对VOCs排放的治理，在位于大浦镇主城区常年上风向的区域应加强对气型污染项目的排放管控。对排放长期无法达标的企业实行限期整改或关停，将促相关化工企业按要求做好挥发性有机物泄漏检测与修复(LDAR)。</w:t>
                  </w:r>
                </w:p>
                <w:p w14:paraId="1C103E59">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(2.3)固废:建立经开区固废规范化管理体系，做好工业围体废物和生活垃圾的分类收集、转运、综合利用和无害化处理。对危险废物应严格按照国家有关规定综合利用成妥善处置，对危险废物产生企业和经营单位，应强化日常环境监管。</w:t>
                  </w:r>
                </w:p>
              </w:tc>
              <w:tc>
                <w:tcPr>
                  <w:tcW w:w="1370" w:type="pct"/>
                  <w:vAlign w:val="center"/>
                </w:tcPr>
                <w:p w14:paraId="3634A8D6">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2.1废水：本项目实施雨污分流。雨水经雨水收集系统进入园区雨水管网；项目无废水产生。项目不属于化工项目，不位于化工片区内。</w:t>
                  </w:r>
                </w:p>
                <w:p w14:paraId="1D3DDEAE">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2.2废气：本项目</w:t>
                  </w:r>
                </w:p>
                <w:p w14:paraId="699470E1">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营运期间的</w:t>
                  </w:r>
                  <w:r>
                    <w:rPr>
                      <w:rFonts w:hint="default" w:ascii="Times New Roman" w:hAnsi="Times New Roman" w:cs="Times New Roman"/>
                      <w:color w:val="000000" w:themeColor="text1"/>
                      <w:kern w:val="2"/>
                      <w:szCs w:val="21"/>
                      <w:highlight w:val="none"/>
                      <w14:textFill>
                        <w14:solidFill>
                          <w14:schemeClr w14:val="tx1"/>
                        </w14:solidFill>
                      </w14:textFill>
                    </w:rPr>
                    <w:t>本项目项目喷漆及烘干废气设置1套废气处理系统，喷漆及烘干废气经负压收集通过“水喷淋+干式过滤+蜂窝活性炭吸附浓缩+脱附催化燃烧处理后通过15m排气筒排放</w:t>
                  </w:r>
                  <w:r>
                    <w:rPr>
                      <w:rFonts w:hint="default" w:ascii="Times New Roman" w:hAnsi="Times New Roman" w:cs="Times New Roman"/>
                      <w:color w:val="000000" w:themeColor="text1"/>
                      <w:szCs w:val="21"/>
                      <w:highlight w:val="none"/>
                      <w14:textFill>
                        <w14:solidFill>
                          <w14:schemeClr w14:val="tx1"/>
                        </w14:solidFill>
                      </w14:textFill>
                    </w:rPr>
                    <w:t>。大气污染物经过有效处理确保达标排放。</w:t>
                  </w:r>
                </w:p>
                <w:p w14:paraId="7EBB665D">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2.3固废：本项目产生各类固体废物均可得到妥善处置。</w:t>
                  </w:r>
                </w:p>
              </w:tc>
              <w:tc>
                <w:tcPr>
                  <w:tcW w:w="317" w:type="pct"/>
                  <w:vAlign w:val="center"/>
                </w:tcPr>
                <w:p w14:paraId="7652FCEF">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6C19C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6B6DD6F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环境风险防控</w:t>
                  </w:r>
                </w:p>
              </w:tc>
              <w:tc>
                <w:tcPr>
                  <w:tcW w:w="2994" w:type="pct"/>
                </w:tcPr>
                <w:p w14:paraId="6FDDC076">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(3.1)经开区应建立健全环境风险防控体系,严格落实各项环境风险事故防范措施,严防环境风险事故发生,提高应急处置能力。</w:t>
                  </w:r>
                </w:p>
                <w:p w14:paraId="292D682E">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(3.2)经开区可能发生突发环境事件的污染物排放企业，生产、储存、运输、使用危险化学品的企业，产生、收集、贮存、运输、利用、处置危险废物的企业等应当编制和实施环境应急预案;鼓励其他企业制定单独的环境应急预案，或在突发事件应急预案中制定环境应急预案专章，并备案。</w:t>
                  </w:r>
                </w:p>
                <w:p w14:paraId="4E02632F">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(3.3)鼓励土壤污染重点监管单位因地制宜实施管道化、密闭化改造，重点区域防腐防渗改造;以及物料、污水、废气管线架空建设和改追，从源头上消除土壤污染。加强地下水保护。对地下水环境质量考核点位周边开展隐息排查和整治。</w:t>
                  </w:r>
                </w:p>
                <w:p w14:paraId="4CA3DDF0">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(3.4)化工园区应按照有关规定建设园区事故废水防控系统，做好事故质水的收集、暂存和处理，化工园区应根据自身规模和产业结构需要，建立完善的安全生产和生态环境的监测蓝控和风险预警体系，相关监测监控数据应接入地方监测预警系统。</w:t>
                  </w:r>
                </w:p>
              </w:tc>
              <w:tc>
                <w:tcPr>
                  <w:tcW w:w="1370" w:type="pct"/>
                  <w:vAlign w:val="center"/>
                </w:tcPr>
                <w:p w14:paraId="45860E30">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bidi="en-US"/>
                      <w14:textFill>
                        <w14:solidFill>
                          <w14:schemeClr w14:val="tx1"/>
                        </w14:solidFill>
                      </w14:textFill>
                    </w:rPr>
                    <w:t>评价要求项目建成后应编制企业突发环境事件应急预案，并与园区突发环境事件应急预案中的要求相衔接，定期开展应急演练。</w:t>
                  </w:r>
                </w:p>
              </w:tc>
              <w:tc>
                <w:tcPr>
                  <w:tcW w:w="317" w:type="pct"/>
                  <w:vAlign w:val="center"/>
                </w:tcPr>
                <w:p w14:paraId="42DB24A6">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r w14:paraId="5004E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 w:type="pct"/>
                  <w:vAlign w:val="center"/>
                </w:tcPr>
                <w:p w14:paraId="34CCB5B3">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资源开发效率要求</w:t>
                  </w:r>
                </w:p>
              </w:tc>
              <w:tc>
                <w:tcPr>
                  <w:tcW w:w="2994" w:type="pct"/>
                </w:tcPr>
                <w:p w14:paraId="2C637343">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(4.1)能源:大力发展清洁能源，构建清洁低碳、安全高效的能源体系。</w:t>
                  </w:r>
                </w:p>
                <w:p w14:paraId="7E49A601">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(4.2)水资源:全面推广高效冷却、洗涤、循环用水、废污水再生利用、高耗水生产工艺替代等节水新工艺、新技术和新设备,提高用水重复利用率，开展企业用水审计、水效对标和节水改造,推进企业内部工业用水循环利用,到2025年,衡东县用水总量3.0413亿立方米。万元工业增加值用水量比2020年下降12.0%。</w:t>
                  </w:r>
                </w:p>
                <w:p w14:paraId="6A727E4E">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(4.3)土地资源:提高土地使用效率和节约集约程度，经开区工业用地固定资产投入强度达到250万元/亩，工业用地地均税收达到15万元/亩。</w:t>
                  </w:r>
                </w:p>
              </w:tc>
              <w:tc>
                <w:tcPr>
                  <w:tcW w:w="1370" w:type="pct"/>
                  <w:vAlign w:val="center"/>
                </w:tcPr>
                <w:p w14:paraId="45645F9C">
                  <w:pPr>
                    <w:pStyle w:val="94"/>
                    <w:jc w:val="both"/>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bidi="en-US"/>
                      <w14:textFill>
                        <w14:solidFill>
                          <w14:schemeClr w14:val="tx1"/>
                        </w14:solidFill>
                      </w14:textFill>
                    </w:rPr>
                    <w:t>本项目能源主要为电能，用水量较少，不属于高耗水企业，</w:t>
                  </w:r>
                  <w:r>
                    <w:rPr>
                      <w:rFonts w:hint="default" w:ascii="Times New Roman" w:hAnsi="Times New Roman" w:cs="Times New Roman"/>
                      <w:color w:val="000000" w:themeColor="text1"/>
                      <w:spacing w:val="-5"/>
                      <w:szCs w:val="21"/>
                      <w:highlight w:val="none"/>
                      <w14:textFill>
                        <w14:solidFill>
                          <w14:schemeClr w14:val="tx1"/>
                        </w14:solidFill>
                      </w14:textFill>
                    </w:rPr>
                    <w:t>项目符合能源和水资源开发效率要求。项目所在地为规划的二类</w:t>
                  </w:r>
                  <w:r>
                    <w:rPr>
                      <w:rFonts w:hint="default" w:ascii="Times New Roman" w:hAnsi="Times New Roman" w:cs="Times New Roman"/>
                      <w:color w:val="000000" w:themeColor="text1"/>
                      <w:spacing w:val="-8"/>
                      <w:szCs w:val="21"/>
                      <w:highlight w:val="none"/>
                      <w14:textFill>
                        <w14:solidFill>
                          <w14:schemeClr w14:val="tx1"/>
                        </w14:solidFill>
                      </w14:textFill>
                    </w:rPr>
                    <w:t>工业用地，用地性质符合生产要求</w:t>
                  </w:r>
                  <w:r>
                    <w:rPr>
                      <w:rFonts w:hint="default" w:ascii="Times New Roman" w:hAnsi="Times New Roman" w:cs="Times New Roman"/>
                      <w:color w:val="000000" w:themeColor="text1"/>
                      <w:spacing w:val="-5"/>
                      <w:szCs w:val="21"/>
                      <w:highlight w:val="none"/>
                      <w14:textFill>
                        <w14:solidFill>
                          <w14:schemeClr w14:val="tx1"/>
                        </w14:solidFill>
                      </w14:textFill>
                    </w:rPr>
                    <w:t>。综上所述，本项目符合资源开发</w:t>
                  </w:r>
                  <w:r>
                    <w:rPr>
                      <w:rFonts w:hint="default" w:ascii="Times New Roman" w:hAnsi="Times New Roman" w:cs="Times New Roman"/>
                      <w:color w:val="000000" w:themeColor="text1"/>
                      <w:szCs w:val="21"/>
                      <w:highlight w:val="none"/>
                      <w14:textFill>
                        <w14:solidFill>
                          <w14:schemeClr w14:val="tx1"/>
                        </w14:solidFill>
                      </w14:textFill>
                    </w:rPr>
                    <w:t>效率要求。</w:t>
                  </w:r>
                </w:p>
              </w:tc>
              <w:tc>
                <w:tcPr>
                  <w:tcW w:w="317" w:type="pct"/>
                  <w:vAlign w:val="center"/>
                </w:tcPr>
                <w:p w14:paraId="36B4C561">
                  <w:pPr>
                    <w:pStyle w:val="9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符合</w:t>
                  </w:r>
                </w:p>
              </w:tc>
            </w:tr>
          </w:tbl>
          <w:p w14:paraId="68457E3F">
            <w:pPr>
              <w:pStyle w:val="78"/>
              <w:adjustRightInd/>
              <w:snapToGrid/>
              <w:spacing w:line="360" w:lineRule="auto"/>
              <w:ind w:firstLine="480" w:firstLineChars="200"/>
              <w:jc w:val="both"/>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综上，项目经过与“三线一单”进行对照，项目不在生态保护红线内、未超出环境质量底线及资源利用上线、</w:t>
            </w:r>
            <w:r>
              <w:rPr>
                <w:rFonts w:hint="default" w:ascii="Times New Roman" w:hAnsi="Times New Roman" w:cs="Times New Roman"/>
                <w:bCs/>
                <w:color w:val="000000" w:themeColor="text1"/>
                <w:highlight w:val="none"/>
                <w14:textFill>
                  <w14:solidFill>
                    <w14:schemeClr w14:val="tx1"/>
                  </w14:solidFill>
                </w14:textFill>
              </w:rPr>
              <w:t>符合生态环境准入清单要求</w:t>
            </w:r>
            <w:r>
              <w:rPr>
                <w:rFonts w:hint="default" w:ascii="Times New Roman" w:hAnsi="Times New Roman" w:cs="Times New Roman"/>
                <w:color w:val="000000" w:themeColor="text1"/>
                <w:highlight w:val="none"/>
                <w14:textFill>
                  <w14:solidFill>
                    <w14:schemeClr w14:val="tx1"/>
                  </w14:solidFill>
                </w14:textFill>
              </w:rPr>
              <w:t>。</w:t>
            </w:r>
          </w:p>
          <w:p w14:paraId="4D092C73">
            <w:pPr>
              <w:pStyle w:val="72"/>
              <w:ind w:firstLine="480"/>
              <w:rPr>
                <w:rFonts w:hint="default" w:ascii="Times New Roman" w:hAnsi="Times New Roman" w:cs="Times New Roman"/>
                <w:color w:val="000000" w:themeColor="text1"/>
                <w:sz w:val="24"/>
                <w:szCs w:val="24"/>
                <w:highlight w:val="none"/>
                <w14:textFill>
                  <w14:solidFill>
                    <w14:schemeClr w14:val="tx1"/>
                  </w14:solidFill>
                </w14:textFill>
              </w:rPr>
            </w:pPr>
            <w:bookmarkStart w:id="20" w:name="_Toc22549"/>
            <w:bookmarkStart w:id="21" w:name="_Toc25158"/>
            <w:r>
              <w:rPr>
                <w:rFonts w:hint="default" w:ascii="Times New Roman" w:hAnsi="Times New Roman" w:cs="Times New Roman"/>
                <w:color w:val="000000" w:themeColor="text1"/>
                <w:sz w:val="24"/>
                <w:highlight w:val="none"/>
                <w14:textFill>
                  <w14:solidFill>
                    <w14:schemeClr w14:val="tx1"/>
                  </w14:solidFill>
                </w14:textFill>
              </w:rPr>
              <w:t>6、</w:t>
            </w:r>
            <w:r>
              <w:rPr>
                <w:rFonts w:hint="default" w:ascii="Times New Roman" w:hAnsi="Times New Roman" w:cs="Times New Roman"/>
                <w:color w:val="000000" w:themeColor="text1"/>
                <w:sz w:val="24"/>
                <w:szCs w:val="24"/>
                <w:highlight w:val="none"/>
                <w14:textFill>
                  <w14:solidFill>
                    <w14:schemeClr w14:val="tx1"/>
                  </w14:solidFill>
                </w14:textFill>
              </w:rPr>
              <w:t>与VOCs污染防治技术政策要求符合性分析</w:t>
            </w:r>
          </w:p>
          <w:p w14:paraId="73FB1164">
            <w:pPr>
              <w:pStyle w:val="72"/>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本项目与《湖南省VOCs污染防治三年实施方案》（湘环发[2018]11号）相符性详见下表。</w:t>
            </w:r>
          </w:p>
          <w:p w14:paraId="01D70C76">
            <w:pPr>
              <w:pStyle w:val="7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表1-5  与VOCs污染防治技术政策要求符合性一览表</w:t>
            </w:r>
          </w:p>
          <w:tbl>
            <w:tblPr>
              <w:tblStyle w:val="3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697"/>
              <w:gridCol w:w="3826"/>
              <w:gridCol w:w="982"/>
            </w:tblGrid>
            <w:tr w14:paraId="62AB4C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3205CA55">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政策要求</w:t>
                  </w:r>
                </w:p>
              </w:tc>
              <w:tc>
                <w:tcPr>
                  <w:tcW w:w="3826" w:type="dxa"/>
                  <w:vAlign w:val="center"/>
                </w:tcPr>
                <w:p w14:paraId="232FF2F4">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本项目情况</w:t>
                  </w:r>
                </w:p>
              </w:tc>
              <w:tc>
                <w:tcPr>
                  <w:tcW w:w="982" w:type="dxa"/>
                  <w:vAlign w:val="center"/>
                </w:tcPr>
                <w:p w14:paraId="01883D7B">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符合性</w:t>
                  </w:r>
                </w:p>
              </w:tc>
            </w:tr>
            <w:tr w14:paraId="22A98B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6091B404">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加快推进“散乱污”企业综合整治</w:t>
                  </w:r>
                </w:p>
              </w:tc>
              <w:tc>
                <w:tcPr>
                  <w:tcW w:w="3826" w:type="dxa"/>
                  <w:vAlign w:val="center"/>
                </w:tcPr>
                <w:p w14:paraId="50B3D737">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本项目位于衡东县大浦镇衡东经济开发区</w:t>
                  </w: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宁国路</w:t>
                  </w:r>
                  <w:r>
                    <w:rPr>
                      <w:rFonts w:hint="default" w:ascii="Times New Roman" w:hAnsi="Times New Roman" w:cs="Times New Roman"/>
                      <w:snapToGrid w:val="0"/>
                      <w:color w:val="000000" w:themeColor="text1"/>
                      <w:kern w:val="0"/>
                      <w:sz w:val="21"/>
                      <w:szCs w:val="21"/>
                      <w:highlight w:val="none"/>
                      <w14:textFill>
                        <w14:solidFill>
                          <w14:schemeClr w14:val="tx1"/>
                        </w14:solidFill>
                      </w14:textFill>
                    </w:rPr>
                    <w:t>，用地属于工业用地</w:t>
                  </w:r>
                </w:p>
              </w:tc>
              <w:tc>
                <w:tcPr>
                  <w:tcW w:w="982" w:type="dxa"/>
                  <w:vAlign w:val="center"/>
                </w:tcPr>
                <w:p w14:paraId="1E544A0D">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4F323E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5D67B7DC">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加快淘汰落后产能</w:t>
                  </w:r>
                </w:p>
              </w:tc>
              <w:tc>
                <w:tcPr>
                  <w:tcW w:w="3826" w:type="dxa"/>
                  <w:vAlign w:val="center"/>
                </w:tcPr>
                <w:p w14:paraId="6F05688F">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本项目使用机械、采用工艺不属于限制、淘汰类之列</w:t>
                  </w:r>
                </w:p>
              </w:tc>
              <w:tc>
                <w:tcPr>
                  <w:tcW w:w="982" w:type="dxa"/>
                  <w:vAlign w:val="center"/>
                </w:tcPr>
                <w:p w14:paraId="3D891688">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7CB847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55942E81">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严格建设项目环境准入</w:t>
                  </w:r>
                </w:p>
              </w:tc>
              <w:tc>
                <w:tcPr>
                  <w:tcW w:w="3826" w:type="dxa"/>
                  <w:vAlign w:val="center"/>
                </w:tcPr>
                <w:p w14:paraId="30C8F6B0">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本项目符合当地环境准入负面清单要求</w:t>
                  </w:r>
                </w:p>
              </w:tc>
              <w:tc>
                <w:tcPr>
                  <w:tcW w:w="982" w:type="dxa"/>
                  <w:vAlign w:val="center"/>
                </w:tcPr>
                <w:p w14:paraId="28AC8007">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4E3BC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44AD83C8">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加强有机废气收集与治理，有机废气收集率不得低于80%，建议吸附燃烧等高效治理设施</w:t>
                  </w:r>
                </w:p>
              </w:tc>
              <w:tc>
                <w:tcPr>
                  <w:tcW w:w="3826" w:type="dxa"/>
                  <w:vAlign w:val="center"/>
                </w:tcPr>
                <w:p w14:paraId="4FA55A36">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本项目有机废气收集率为90%，通过采用水喷淋+干式过滤+蜂窝活性炭吸附浓缩+脱附催化燃烧处理</w:t>
                  </w:r>
                </w:p>
              </w:tc>
              <w:tc>
                <w:tcPr>
                  <w:tcW w:w="982" w:type="dxa"/>
                  <w:vAlign w:val="center"/>
                </w:tcPr>
                <w:p w14:paraId="15829932">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472366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65B099B7">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逐步淘汰露天喷涂</w:t>
                  </w:r>
                </w:p>
              </w:tc>
              <w:tc>
                <w:tcPr>
                  <w:tcW w:w="3826" w:type="dxa"/>
                  <w:vAlign w:val="center"/>
                </w:tcPr>
                <w:p w14:paraId="4305E91B">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本项目喷涂作业位于密闭的喷漆房内</w:t>
                  </w:r>
                </w:p>
              </w:tc>
              <w:tc>
                <w:tcPr>
                  <w:tcW w:w="982" w:type="dxa"/>
                  <w:vAlign w:val="center"/>
                </w:tcPr>
                <w:p w14:paraId="54CC92AA">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3A1C2F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34123983">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含VOCs产品的使用中，应采取废气收集措施，提高废气收集效率，减少废气的无组织排放与逸散，并对收集后的废气进行回收或处理达标排放</w:t>
                  </w:r>
                </w:p>
              </w:tc>
              <w:tc>
                <w:tcPr>
                  <w:tcW w:w="3826" w:type="dxa"/>
                  <w:vAlign w:val="center"/>
                </w:tcPr>
                <w:p w14:paraId="3A35268A">
                  <w:pPr>
                    <w:pStyle w:val="74"/>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喷漆+烘干工序废气</w:t>
                  </w:r>
                  <w:r>
                    <w:rPr>
                      <w:rFonts w:hint="default" w:ascii="Times New Roman" w:hAnsi="Times New Roman" w:cs="Times New Roman"/>
                      <w:color w:val="000000" w:themeColor="text1"/>
                      <w:sz w:val="21"/>
                      <w:szCs w:val="21"/>
                      <w:highlight w:val="none"/>
                      <w14:textFill>
                        <w14:solidFill>
                          <w14:schemeClr w14:val="tx1"/>
                        </w14:solidFill>
                      </w14:textFill>
                    </w:rPr>
                    <w:t>通过负压收集后经水喷淋+干式过滤+蜂窝活性炭吸附浓缩+脱附催化燃烧处理后通过15m排气筒达标排放</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收集效率达90%。</w:t>
                  </w:r>
                </w:p>
              </w:tc>
              <w:tc>
                <w:tcPr>
                  <w:tcW w:w="982" w:type="dxa"/>
                  <w:vAlign w:val="center"/>
                </w:tcPr>
                <w:p w14:paraId="24144EB5">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r w14:paraId="6CD10E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2697" w:type="dxa"/>
                  <w:vAlign w:val="center"/>
                </w:tcPr>
                <w:p w14:paraId="665DC2FB">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是否属于VOCs重点区域范围</w:t>
                  </w:r>
                </w:p>
              </w:tc>
              <w:tc>
                <w:tcPr>
                  <w:tcW w:w="3826" w:type="dxa"/>
                  <w:vAlign w:val="center"/>
                </w:tcPr>
                <w:p w14:paraId="360E0DCC">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不属于重点范围</w:t>
                  </w:r>
                </w:p>
              </w:tc>
              <w:tc>
                <w:tcPr>
                  <w:tcW w:w="982" w:type="dxa"/>
                  <w:vAlign w:val="center"/>
                </w:tcPr>
                <w:p w14:paraId="54341331">
                  <w:pPr>
                    <w:pStyle w:val="74"/>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符合</w:t>
                  </w:r>
                </w:p>
              </w:tc>
            </w:tr>
          </w:tbl>
          <w:p w14:paraId="2B29EE95">
            <w:pPr>
              <w:spacing w:before="120" w:beforeLines="50" w:line="360" w:lineRule="auto"/>
              <w:ind w:firstLine="480" w:firstLineChars="200"/>
              <w:rPr>
                <w:rFonts w:hint="default" w:ascii="Times New Roman" w:hAnsi="Times New Roman" w:cs="Times New Roman"/>
                <w:snapToGrid w:val="0"/>
                <w:color w:val="000000" w:themeColor="text1"/>
                <w:kern w:val="0"/>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综上所述，本项目符合</w:t>
            </w:r>
            <w:r>
              <w:rPr>
                <w:rFonts w:hint="default" w:ascii="Times New Roman" w:hAnsi="Times New Roman" w:cs="Times New Roman"/>
                <w:color w:val="000000" w:themeColor="text1"/>
                <w:sz w:val="24"/>
                <w:highlight w:val="none"/>
                <w14:textFill>
                  <w14:solidFill>
                    <w14:schemeClr w14:val="tx1"/>
                  </w14:solidFill>
                </w14:textFill>
              </w:rPr>
              <w:t>《湖南省VOCs污染防治三年实施方案》（湘环发[2018]11号）等地方最新VOCs污染防治技术政策要求。</w:t>
            </w:r>
          </w:p>
          <w:p w14:paraId="02B28C4B">
            <w:pPr>
              <w:spacing w:line="360" w:lineRule="auto"/>
              <w:ind w:firstLine="480" w:firstLineChars="200"/>
              <w:rPr>
                <w:rFonts w:hint="default" w:ascii="Times New Roman" w:hAnsi="Times New Roman" w:cs="Times New Roman"/>
                <w:snapToGrid w:val="0"/>
                <w:color w:val="000000" w:themeColor="text1"/>
                <w:kern w:val="0"/>
                <w:sz w:val="24"/>
                <w:highlight w:val="none"/>
                <w14:textFill>
                  <w14:solidFill>
                    <w14:schemeClr w14:val="tx1"/>
                  </w14:solidFill>
                </w14:textFill>
              </w:rPr>
            </w:pPr>
            <w:r>
              <w:rPr>
                <w:rFonts w:hint="default" w:ascii="Times New Roman" w:hAnsi="Times New Roman" w:cs="Times New Roman"/>
                <w:snapToGrid w:val="0"/>
                <w:color w:val="000000" w:themeColor="text1"/>
                <w:kern w:val="0"/>
                <w:sz w:val="24"/>
                <w:highlight w:val="none"/>
                <w14:textFill>
                  <w14:solidFill>
                    <w14:schemeClr w14:val="tx1"/>
                  </w14:solidFill>
                </w14:textFill>
              </w:rPr>
              <w:t>7、与《</w:t>
            </w:r>
            <w:r>
              <w:rPr>
                <w:rFonts w:hint="default" w:ascii="Times New Roman" w:hAnsi="Times New Roman" w:cs="Times New Roman"/>
                <w:color w:val="000000" w:themeColor="text1"/>
                <w:sz w:val="24"/>
                <w:highlight w:val="none"/>
                <w14:textFill>
                  <w14:solidFill>
                    <w14:schemeClr w14:val="tx1"/>
                  </w14:solidFill>
                </w14:textFill>
              </w:rPr>
              <w:t>挥发性有机物（VOCs）污染防治技术政策</w:t>
            </w:r>
            <w:r>
              <w:rPr>
                <w:rFonts w:hint="default" w:ascii="Times New Roman" w:hAnsi="Times New Roman" w:cs="Times New Roman"/>
                <w:snapToGrid w:val="0"/>
                <w:color w:val="000000" w:themeColor="text1"/>
                <w:kern w:val="0"/>
                <w:sz w:val="24"/>
                <w:highlight w:val="none"/>
                <w14:textFill>
                  <w14:solidFill>
                    <w14:schemeClr w14:val="tx1"/>
                  </w14:solidFill>
                </w14:textFill>
              </w:rPr>
              <w:t>》符合性分析</w:t>
            </w:r>
          </w:p>
          <w:p w14:paraId="16BCDBA3">
            <w:pPr>
              <w:spacing w:line="360" w:lineRule="auto"/>
              <w:ind w:firstLine="480" w:firstLineChars="200"/>
              <w:rPr>
                <w:rFonts w:hint="default" w:ascii="Times New Roman" w:hAnsi="Times New Roman" w:cs="Times New Roman"/>
                <w:snapToGrid w:val="0"/>
                <w:color w:val="000000" w:themeColor="text1"/>
                <w:kern w:val="0"/>
                <w:sz w:val="24"/>
                <w:highlight w:val="none"/>
                <w14:textFill>
                  <w14:solidFill>
                    <w14:schemeClr w14:val="tx1"/>
                  </w14:solidFill>
                </w14:textFill>
              </w:rPr>
            </w:pPr>
            <w:r>
              <w:rPr>
                <w:rFonts w:hint="default" w:ascii="Times New Roman" w:hAnsi="Times New Roman" w:cs="Times New Roman"/>
                <w:snapToGrid w:val="0"/>
                <w:color w:val="000000" w:themeColor="text1"/>
                <w:kern w:val="0"/>
                <w:sz w:val="24"/>
                <w:highlight w:val="none"/>
                <w14:textFill>
                  <w14:solidFill>
                    <w14:schemeClr w14:val="tx1"/>
                  </w14:solidFill>
                </w14:textFill>
              </w:rPr>
              <w:t>本项目为结构件制造，生产过程中使用各类油漆，会产生VOCs，因此与《挥发性有机物（VOCs）污染防治技术政策》符合性分析详见下表。</w:t>
            </w:r>
          </w:p>
          <w:p w14:paraId="6642AD25">
            <w:pPr>
              <w:pStyle w:val="73"/>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表1-6 与《挥发性有机物（VOCs）污染防治技术政策》符合性一览表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4677"/>
              <w:gridCol w:w="1417"/>
              <w:gridCol w:w="830"/>
            </w:tblGrid>
            <w:tr w14:paraId="32B9F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1" w:type="dxa"/>
                  <w:vAlign w:val="center"/>
                </w:tcPr>
                <w:p w14:paraId="26F94660">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序号</w:t>
                  </w:r>
                </w:p>
              </w:tc>
              <w:tc>
                <w:tcPr>
                  <w:tcW w:w="4677" w:type="dxa"/>
                  <w:vAlign w:val="center"/>
                </w:tcPr>
                <w:p w14:paraId="440D93DC">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相关内容</w:t>
                  </w:r>
                </w:p>
              </w:tc>
              <w:tc>
                <w:tcPr>
                  <w:tcW w:w="1417" w:type="dxa"/>
                  <w:vAlign w:val="center"/>
                </w:tcPr>
                <w:p w14:paraId="57EE4798">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本项目情况</w:t>
                  </w:r>
                </w:p>
              </w:tc>
              <w:tc>
                <w:tcPr>
                  <w:tcW w:w="830" w:type="dxa"/>
                  <w:vAlign w:val="center"/>
                </w:tcPr>
                <w:p w14:paraId="6B3D88E7">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相符性</w:t>
                  </w:r>
                </w:p>
              </w:tc>
            </w:tr>
            <w:tr w14:paraId="14E49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1" w:type="dxa"/>
                  <w:vAlign w:val="center"/>
                </w:tcPr>
                <w:p w14:paraId="23EBB7A2">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1</w:t>
                  </w:r>
                </w:p>
              </w:tc>
              <w:tc>
                <w:tcPr>
                  <w:tcW w:w="4677" w:type="dxa"/>
                  <w:vAlign w:val="center"/>
                </w:tcPr>
                <w:p w14:paraId="24F08DD5">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源头控制：</w:t>
                  </w:r>
                </w:p>
                <w:p w14:paraId="3B7DDEE6">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（四）在涂装、印刷、粘合、清洗等含VOCs产品的使用过程中，应满足以下规定：</w:t>
                  </w:r>
                </w:p>
                <w:p w14:paraId="66DCF212">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1、鼓励使用通过中国环境标志产品认证的环保型涂料、油墨、胶粘剂和清洗剂。</w:t>
                  </w:r>
                </w:p>
                <w:p w14:paraId="453F988C">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2、根据涂装工艺的不同，鼓励使用水性涂料、高固份涂料、粉末涂料、紫外光固化（UV）涂料等环保型涂料，限制使用溶剂型涂料；推广采用静电喷涂、淋涂、辊涂、浸涂等涂装效率较高的涂装工艺。除工艺有特殊要求外，应取消露天喷涂作业。</w:t>
                  </w:r>
                </w:p>
                <w:p w14:paraId="33CBFDF0">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3、应采取废气收集措施，提高废气的收集效率，减少废气的无组织排放与逸散，并对收集后的废气进行回收或处理后排放。</w:t>
                  </w:r>
                </w:p>
              </w:tc>
              <w:tc>
                <w:tcPr>
                  <w:tcW w:w="1417" w:type="dxa"/>
                  <w:vAlign w:val="center"/>
                </w:tcPr>
                <w:p w14:paraId="33D9BA2D">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本项目使用</w:t>
                  </w:r>
                  <w:r>
                    <w:rPr>
                      <w:rFonts w:hint="default" w:ascii="Times New Roman" w:hAnsi="Times New Roman" w:cs="Times New Roman"/>
                      <w:snapToGrid w:val="0"/>
                      <w:color w:val="000000" w:themeColor="text1"/>
                      <w:sz w:val="21"/>
                      <w:szCs w:val="21"/>
                      <w:highlight w:val="none"/>
                      <w14:textFill>
                        <w14:solidFill>
                          <w14:schemeClr w14:val="tx1"/>
                        </w14:solidFill>
                      </w14:textFill>
                    </w:rPr>
                    <w:t>中国环境标志产品认证的环保型涂料，采用涂装效率较高的静电喷涂工艺，</w:t>
                  </w:r>
                  <w:r>
                    <w:rPr>
                      <w:rFonts w:hint="default" w:ascii="Times New Roman" w:hAnsi="Times New Roman" w:cs="Times New Roman"/>
                      <w:color w:val="000000" w:themeColor="text1"/>
                      <w:sz w:val="21"/>
                      <w:szCs w:val="21"/>
                      <w:highlight w:val="none"/>
                      <w14:textFill>
                        <w14:solidFill>
                          <w14:schemeClr w14:val="tx1"/>
                        </w14:solidFill>
                      </w14:textFill>
                    </w:rPr>
                    <w:t>喷漆+烘干工序废气</w:t>
                  </w:r>
                  <w:r>
                    <w:rPr>
                      <w:rFonts w:hint="default" w:ascii="Times New Roman" w:hAnsi="Times New Roman" w:cs="Times New Roman"/>
                      <w:color w:val="000000" w:themeColor="text1"/>
                      <w:sz w:val="21"/>
                      <w:szCs w:val="21"/>
                      <w:highlight w:val="none"/>
                      <w14:textFill>
                        <w14:solidFill>
                          <w14:schemeClr w14:val="tx1"/>
                        </w14:solidFill>
                      </w14:textFill>
                    </w:rPr>
                    <w:t>通过负压收集后经水喷淋+干式过滤+蜂窝活性炭吸附浓缩+脱附催化燃烧处理后通过15m排气筒达标排放</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收集效率达90%。</w:t>
                  </w:r>
                </w:p>
              </w:tc>
              <w:tc>
                <w:tcPr>
                  <w:tcW w:w="830" w:type="dxa"/>
                  <w:vAlign w:val="center"/>
                </w:tcPr>
                <w:p w14:paraId="42C82FF5">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符合</w:t>
                  </w:r>
                </w:p>
              </w:tc>
            </w:tr>
            <w:tr w14:paraId="1D2EC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1" w:type="dxa"/>
                  <w:vAlign w:val="center"/>
                </w:tcPr>
                <w:p w14:paraId="2120F625">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2</w:t>
                  </w:r>
                </w:p>
              </w:tc>
              <w:tc>
                <w:tcPr>
                  <w:tcW w:w="4677" w:type="dxa"/>
                  <w:vAlign w:val="center"/>
                </w:tcPr>
                <w:p w14:paraId="088FAE28">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末端治理与综合利用：</w:t>
                  </w:r>
                </w:p>
                <w:p w14:paraId="0B18D74D">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（一）鼓励VOCs的回收利用，并优先鼓励在生产系统内回用。</w:t>
                  </w:r>
                </w:p>
                <w:p w14:paraId="5308633D">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（二）应根据废气的产生量、污染物的组分和性质、温度、压力等因素进行综合分析后选择废气治理工艺路线。</w:t>
                  </w:r>
                </w:p>
                <w:p w14:paraId="03D3F2D5">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（三）对于高浓度VOCs废气，宜首先采用冷凝回收、变压吸附回收等技术对废气中的VOCs回收利用，辅助以其他治理技术实现达标排放。</w:t>
                  </w:r>
                </w:p>
                <w:p w14:paraId="7517766B">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（四）对于中等浓度VOCs废气，宜采用吸附技术回收有机溶剂，或采用催化燃烧和热力焚烧技术净化后达标排放。当采用催化燃烧和热力焚烧技术进行净化时，应对燃烧后的热量回收利用。</w:t>
                  </w:r>
                </w:p>
                <w:p w14:paraId="2026EB0C">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（五）对于低浓度VOCs废气，有回收价值时，宜采用吸附技术对有机溶剂回收后达标排放；无回收价值时，宜采用吸附浓缩燃烧技术、生物技术或等离子体技术等净化后达标排放。</w:t>
                  </w:r>
                </w:p>
                <w:p w14:paraId="1013EEB9">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（六）恶臭气体宜采用生物技术、等离子体技术、吸附技术等净化后达标排放。</w:t>
                  </w:r>
                </w:p>
                <w:p w14:paraId="67B9EDFF">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（七）餐饮油烟宜采用等离子体和湿法油烟净化装置净化后达标排放。</w:t>
                  </w:r>
                </w:p>
                <w:p w14:paraId="62EC31B7">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（八）对于催化燃烧和高温焚烧过程中产生的含硫、氮、氯等的无机废气，以及吸附、吸收、冷凝、生物等治理工艺过程中所产生的含有机物的废水，应处理后达标排放。</w:t>
                  </w:r>
                </w:p>
                <w:p w14:paraId="1A3C30C5">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（九）对于不能再生的过滤材料、吸附剂及催化剂等净化材料，应按照国家固体废物管理的相关规定处理处置。</w:t>
                  </w:r>
                </w:p>
              </w:tc>
              <w:tc>
                <w:tcPr>
                  <w:tcW w:w="1417" w:type="dxa"/>
                  <w:vAlign w:val="center"/>
                </w:tcPr>
                <w:p w14:paraId="1227AFA4">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本项目所使用的有机废气治理措施均为可行性治理措施，经处理后均能达标排放</w:t>
                  </w:r>
                </w:p>
              </w:tc>
              <w:tc>
                <w:tcPr>
                  <w:tcW w:w="830" w:type="dxa"/>
                  <w:vAlign w:val="center"/>
                </w:tcPr>
                <w:p w14:paraId="1789D14A">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符合</w:t>
                  </w:r>
                </w:p>
              </w:tc>
            </w:tr>
            <w:tr w14:paraId="6E015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81" w:type="dxa"/>
                  <w:vAlign w:val="center"/>
                </w:tcPr>
                <w:p w14:paraId="2750B2A9">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3</w:t>
                  </w:r>
                </w:p>
              </w:tc>
              <w:tc>
                <w:tcPr>
                  <w:tcW w:w="4677" w:type="dxa"/>
                  <w:vAlign w:val="center"/>
                </w:tcPr>
                <w:p w14:paraId="5DE2C626">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鼓励研发的新技术、新材料：</w:t>
                  </w:r>
                </w:p>
                <w:p w14:paraId="5FD887F4">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（一）低浓度有机废气旋转式沸石吸附浓缩技术和高效蓄热式燃烧技术。</w:t>
                  </w:r>
                </w:p>
                <w:p w14:paraId="10E487EA">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（二）针对特定有机污染物的生物净化技术和低温等离子体净化技术。</w:t>
                  </w:r>
                </w:p>
                <w:p w14:paraId="2A3EE18B">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（三）高效吸附材料（如活性炭、活性炭纤维和沸石分子筛）、催化材料（如广谱性VOCs氧化催化剂）和生物填料等。</w:t>
                  </w:r>
                </w:p>
                <w:p w14:paraId="495F5A8D">
                  <w:pPr>
                    <w:pStyle w:val="74"/>
                    <w:jc w:val="both"/>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（四）可检测总烃含量和不同特征污染物含量的工业有机废气在线监测装置。</w:t>
                  </w:r>
                </w:p>
              </w:tc>
              <w:tc>
                <w:tcPr>
                  <w:tcW w:w="1417" w:type="dxa"/>
                  <w:vAlign w:val="center"/>
                </w:tcPr>
                <w:p w14:paraId="6A21B0E1">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本项目有机废气通过水喷淋+干式过滤+蜂窝活性炭吸附浓缩+脱附催化燃烧处理，其中活性炭均属于高效吸附材料</w:t>
                  </w:r>
                </w:p>
              </w:tc>
              <w:tc>
                <w:tcPr>
                  <w:tcW w:w="830" w:type="dxa"/>
                  <w:vAlign w:val="center"/>
                </w:tcPr>
                <w:p w14:paraId="298BA9E4">
                  <w:pPr>
                    <w:pStyle w:val="74"/>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符合</w:t>
                  </w:r>
                </w:p>
              </w:tc>
            </w:tr>
            <w:bookmarkEnd w:id="20"/>
            <w:bookmarkEnd w:id="21"/>
          </w:tbl>
          <w:p w14:paraId="446E1741">
            <w:pPr>
              <w:rPr>
                <w:rFonts w:hint="default" w:ascii="Times New Roman" w:hAnsi="Times New Roman" w:cs="Times New Roman"/>
                <w:color w:val="000000" w:themeColor="text1"/>
                <w:highlight w:val="none"/>
                <w14:textFill>
                  <w14:solidFill>
                    <w14:schemeClr w14:val="tx1"/>
                  </w14:solidFill>
                </w14:textFill>
              </w:rPr>
            </w:pPr>
          </w:p>
        </w:tc>
      </w:tr>
    </w:tbl>
    <w:p w14:paraId="76E320EA">
      <w:pPr>
        <w:spacing w:line="360" w:lineRule="auto"/>
        <w:rPr>
          <w:rFonts w:hint="default" w:ascii="Times New Roman" w:hAnsi="Times New Roman" w:eastAsia="黑体" w:cs="Times New Roman"/>
          <w:color w:val="000000" w:themeColor="text1"/>
          <w:sz w:val="30"/>
          <w:highlight w:val="none"/>
          <w14:textFill>
            <w14:solidFill>
              <w14:schemeClr w14:val="tx1"/>
            </w14:solidFill>
          </w14:textFill>
        </w:rPr>
        <w:sectPr>
          <w:footerReference r:id="rId5" w:type="default"/>
          <w:pgSz w:w="11906" w:h="16838"/>
          <w:pgMar w:top="1701" w:right="1531" w:bottom="1701" w:left="1531" w:header="851" w:footer="1077" w:gutter="0"/>
          <w:pgNumType w:start="1"/>
          <w:cols w:space="720" w:num="1"/>
          <w:docGrid w:linePitch="312" w:charSpace="0"/>
        </w:sectPr>
      </w:pPr>
      <w:r>
        <w:rPr>
          <w:rFonts w:hint="default" w:ascii="Times New Roman" w:hAnsi="Times New Roman" w:eastAsia="黑体" w:cs="Times New Roman"/>
          <w:color w:val="000000" w:themeColor="text1"/>
          <w:sz w:val="30"/>
          <w:highlight w:val="none"/>
          <w14:textFill>
            <w14:solidFill>
              <w14:schemeClr w14:val="tx1"/>
            </w14:solidFill>
          </w14:textFill>
        </w:rPr>
        <w:t xml:space="preserve"> </w:t>
      </w:r>
    </w:p>
    <w:p w14:paraId="0272A095">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22" w:name="_Toc4288"/>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二、建设项目工程分析</w:t>
      </w:r>
      <w:bookmarkEnd w:id="22"/>
    </w:p>
    <w:tbl>
      <w:tblPr>
        <w:tblStyle w:val="33"/>
        <w:tblW w:w="921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785"/>
      </w:tblGrid>
      <w:tr w14:paraId="36CB67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9" w:hRule="atLeast"/>
          <w:jc w:val="center"/>
        </w:trPr>
        <w:tc>
          <w:tcPr>
            <w:tcW w:w="415" w:type="dxa"/>
            <w:vAlign w:val="center"/>
          </w:tcPr>
          <w:p w14:paraId="02871314">
            <w:pPr>
              <w:pStyle w:val="30"/>
              <w:adjustRightInd w:val="0"/>
              <w:snapToGrid w:val="0"/>
              <w:spacing w:before="0" w:beforeAutospacing="0" w:after="0" w:afterAutospacing="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建设内容</w:t>
            </w:r>
          </w:p>
        </w:tc>
        <w:tc>
          <w:tcPr>
            <w:tcW w:w="8796" w:type="dxa"/>
          </w:tcPr>
          <w:p w14:paraId="12F39A6C">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1、项目背景及项目组成内容</w:t>
            </w:r>
          </w:p>
          <w:p w14:paraId="2677D588">
            <w:pPr>
              <w:pStyle w:val="63"/>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（1）项目背景</w:t>
            </w:r>
          </w:p>
          <w:p w14:paraId="5E478C61">
            <w:pPr>
              <w:pStyle w:val="63"/>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衡阳市朝阳重机有限公司成立于 2018 年，位于湖南省衡阳市衡东县大浦镇衡东经济开发区内，注册资本为 2000 万人民币，其北临京广铁路，南临泉南高速公路，东至经七路和经九路，西达铁路专线东面水体，交通十分便利，区域优势十分明显。</w:t>
            </w:r>
          </w:p>
          <w:p w14:paraId="79E141EC">
            <w:pPr>
              <w:pStyle w:val="63"/>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衡阳市朝阳重机有限公司是一家以从事专用设备制造业为主的企业，于 2020 年投资建设高效节能制砂、制石成套系统及重装设备建设项目，项目主要建设内容为购置机加工、喷砂、喷漆等设备，从事制砂机的生产，具有高效节能制砂、制石成套系统 80 套生产能力，本项目主要生产制砂机械。衡阳市朝阳重机有限公司于2019 年 3 月委托湖南绿鸿环境科技有限责任公司编制《高效节能制砂、制石成套系统及重装设备建设项目环境影响评价报告表》</w:t>
            </w:r>
            <w:r>
              <w:rPr>
                <w:rFonts w:hint="default" w:ascii="Times New Roman" w:hAnsi="Times New Roman" w:cs="Times New Roman"/>
                <w:color w:val="000000" w:themeColor="text1"/>
                <w:szCs w:val="24"/>
                <w:highlight w:val="none"/>
                <w:u w:val="single"/>
                <w14:textFill>
                  <w14:solidFill>
                    <w14:schemeClr w14:val="tx1"/>
                  </w14:solidFill>
                </w14:textFill>
              </w:rPr>
              <w:t>，其中油性油漆</w:t>
            </w:r>
            <w:r>
              <w:rPr>
                <w:rFonts w:hint="default" w:ascii="Times New Roman" w:hAnsi="Times New Roman" w:cs="Times New Roman"/>
                <w:color w:val="000000" w:themeColor="text1"/>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Cs w:val="24"/>
                <w:highlight w:val="none"/>
                <w:u w:val="single"/>
                <w:lang w:val="en-US" w:eastAsia="zh-CN"/>
                <w14:textFill>
                  <w14:solidFill>
                    <w14:schemeClr w14:val="tx1"/>
                  </w14:solidFill>
                </w14:textFill>
              </w:rPr>
              <w:t>含稀释剂、固化剂</w:t>
            </w:r>
            <w:r>
              <w:rPr>
                <w:rFonts w:hint="default" w:ascii="Times New Roman" w:hAnsi="Times New Roman" w:cs="Times New Roman"/>
                <w:color w:val="000000" w:themeColor="text1"/>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Cs w:val="24"/>
                <w:highlight w:val="none"/>
                <w:u w:val="single"/>
                <w14:textFill>
                  <w14:solidFill>
                    <w14:schemeClr w14:val="tx1"/>
                  </w14:solidFill>
                </w14:textFill>
              </w:rPr>
              <w:t>年用量为5.85t</w:t>
            </w:r>
            <w:r>
              <w:rPr>
                <w:rFonts w:hint="default" w:ascii="Times New Roman" w:hAnsi="Times New Roman" w:cs="Times New Roman"/>
                <w:color w:val="000000" w:themeColor="text1"/>
                <w:szCs w:val="24"/>
                <w:highlight w:val="none"/>
                <w:u w:val="single"/>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并于 2020年6月2 日取得衡阳市生态环境局衡东分局关于《衡阳市朝阳重机有限公司高效节能制砂、制石成套系统及重装设备建设项目环境影响报告表》的批复（东环评〔2020〕18 号），于 2022年2月编制了《高效节能制砂、制石成套系统及重装设备建设项目竣工环境保护验收监测报告》（于2022年1月27日通过专家审查），并于2022年4月25日在衡阳市生态环境局衡东分局备案。</w:t>
            </w:r>
          </w:p>
          <w:p w14:paraId="51AAEF06">
            <w:pPr>
              <w:pStyle w:val="23"/>
              <w:numPr>
                <w:ilvl w:val="0"/>
                <w:numId w:val="0"/>
              </w:num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为了满足市场需求，衡阳市朝阳重机有限公司计划实施改扩建工程：利用公司现有场地及厂房，新增行车、激光切割机、气刨焊机等生产设备，</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利用通道新建980m</w:t>
            </w:r>
            <w:r>
              <w:rPr>
                <w:rFonts w:hint="default" w:ascii="Times New Roman" w:hAnsi="Times New Roman" w:cs="Times New Roman"/>
                <w:color w:val="000000" w:themeColor="text1"/>
                <w:sz w:val="24"/>
                <w:highlight w:val="none"/>
                <w:u w:val="singl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填充车间，</w:t>
            </w:r>
            <w:r>
              <w:rPr>
                <w:rFonts w:hint="default" w:ascii="Times New Roman" w:hAnsi="Times New Roman" w:cs="Times New Roman"/>
                <w:color w:val="000000" w:themeColor="text1"/>
                <w:sz w:val="24"/>
                <w:highlight w:val="none"/>
                <w:u w:val="single"/>
                <w14:textFill>
                  <w14:solidFill>
                    <w14:schemeClr w14:val="tx1"/>
                  </w14:solidFill>
                </w14:textFill>
              </w:rPr>
              <w:t>其余依托现有工程，</w:t>
            </w:r>
            <w:r>
              <w:rPr>
                <w:rFonts w:hint="default" w:ascii="Times New Roman" w:hAnsi="Times New Roman" w:cs="Times New Roman"/>
                <w:color w:val="000000" w:themeColor="text1"/>
                <w:sz w:val="24"/>
                <w:highlight w:val="none"/>
                <w:u w:val="single"/>
                <w14:textFill>
                  <w14:solidFill>
                    <w14:schemeClr w14:val="tx1"/>
                  </w14:solidFill>
                </w14:textFill>
              </w:rPr>
              <w:t>扩建年产7000t结构件项目。</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项目生产过程中涉及喷漆工艺，油性油漆</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含稀释剂、固化剂</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使用量为3.80</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7</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同时对现有废气处理设施进行优化升级，升级后的现有工程喷漆烘干废气、扩建工程喷漆烘干废气一起</w:t>
            </w:r>
            <w:r>
              <w:rPr>
                <w:rFonts w:hint="default" w:ascii="Times New Roman" w:hAnsi="Times New Roman" w:cs="Times New Roman"/>
                <w:color w:val="000000" w:themeColor="text1"/>
                <w:sz w:val="24"/>
                <w:highlight w:val="none"/>
                <w:u w:val="single"/>
                <w14:textFill>
                  <w14:solidFill>
                    <w14:schemeClr w14:val="tx1"/>
                  </w14:solidFill>
                </w14:textFill>
              </w:rPr>
              <w:t>经负压收集通过“水喷淋+干式过滤+活性炭吸附/脱附+催化燃烧+15m高排气筒</w:t>
            </w:r>
            <w:r>
              <w:rPr>
                <w:rFonts w:hint="default" w:ascii="Times New Roman" w:hAnsi="Times New Roman" w:cs="Times New Roman"/>
                <w:color w:val="000000" w:themeColor="text1"/>
                <w:sz w:val="24"/>
                <w:highlight w:val="none"/>
                <w:u w:val="single"/>
                <w14:textFill>
                  <w14:solidFill>
                    <w14:schemeClr w14:val="tx1"/>
                  </w14:solidFill>
                </w14:textFill>
              </w:rPr>
              <w:t>排放，</w:t>
            </w:r>
            <w:r>
              <w:rPr>
                <w:rFonts w:hint="default" w:ascii="Times New Roman" w:hAnsi="Times New Roman" w:cs="Times New Roman"/>
                <w:color w:val="000000" w:themeColor="text1"/>
                <w:sz w:val="24"/>
                <w:highlight w:val="none"/>
                <w:u w:val="single"/>
                <w14:textFill>
                  <w14:solidFill>
                    <w14:schemeClr w14:val="tx1"/>
                  </w14:solidFill>
                </w14:textFill>
              </w:rPr>
              <w:t>其余</w:t>
            </w:r>
            <w:r>
              <w:rPr>
                <w:rFonts w:hint="default" w:ascii="Times New Roman" w:hAnsi="Times New Roman" w:cs="Times New Roman"/>
                <w:color w:val="000000" w:themeColor="text1"/>
                <w:sz w:val="24"/>
                <w:highlight w:val="none"/>
                <w:u w:val="single"/>
                <w14:textFill>
                  <w14:solidFill>
                    <w14:schemeClr w14:val="tx1"/>
                  </w14:solidFill>
                </w14:textFill>
              </w:rPr>
              <w:t>生产车间（打磨车间、喷漆房、装配车间等）、主要生产设备（腻子打磨、喷漆等）、办公楼、原材料、成品仓库、公用工程、劳动定员等</w:t>
            </w:r>
            <w:r>
              <w:rPr>
                <w:rFonts w:hint="default" w:ascii="Times New Roman" w:hAnsi="Times New Roman" w:cs="Times New Roman"/>
                <w:color w:val="000000" w:themeColor="text1"/>
                <w:sz w:val="24"/>
                <w:highlight w:val="none"/>
                <w:u w:val="single"/>
                <w14:textFill>
                  <w14:solidFill>
                    <w14:schemeClr w14:val="tx1"/>
                  </w14:solidFill>
                </w14:textFill>
              </w:rPr>
              <w:t>均依托原有工程</w:t>
            </w:r>
            <w:r>
              <w:rPr>
                <w:rFonts w:hint="default" w:ascii="Times New Roman" w:hAnsi="Times New Roman" w:cs="Times New Roman"/>
                <w:color w:val="000000" w:themeColor="text1"/>
                <w:sz w:val="24"/>
                <w:highlight w:val="none"/>
                <w:u w:val="single"/>
                <w14:textFill>
                  <w14:solidFill>
                    <w14:schemeClr w14:val="tx1"/>
                  </w14:solidFill>
                </w14:textFill>
              </w:rPr>
              <w:t>。</w:t>
            </w:r>
          </w:p>
          <w:p w14:paraId="25A08F6D">
            <w:pPr>
              <w:tabs>
                <w:tab w:val="left" w:pos="360"/>
              </w:tabs>
              <w:spacing w:line="360" w:lineRule="auto"/>
              <w:ind w:firstLine="480" w:firstLineChars="200"/>
              <w:rPr>
                <w:rFonts w:hint="default" w:ascii="Times New Roman" w:hAnsi="Times New Roman" w:cs="Times New Roman"/>
                <w:bCs/>
                <w:snapToGrid w:val="0"/>
                <w:color w:val="000000" w:themeColor="text1"/>
                <w:sz w:val="24"/>
                <w:highlight w:val="none"/>
                <w14:textFill>
                  <w14:solidFill>
                    <w14:schemeClr w14:val="tx1"/>
                  </w14:solidFill>
                </w14:textFill>
              </w:rPr>
            </w:pPr>
            <w:r>
              <w:rPr>
                <w:rFonts w:hint="default" w:ascii="Times New Roman" w:hAnsi="Times New Roman" w:cs="Times New Roman"/>
                <w:bCs/>
                <w:snapToGrid w:val="0"/>
                <w:color w:val="000000" w:themeColor="text1"/>
                <w:sz w:val="24"/>
                <w:highlight w:val="none"/>
                <w14:textFill>
                  <w14:solidFill>
                    <w14:schemeClr w14:val="tx1"/>
                  </w14:solidFill>
                </w14:textFill>
              </w:rPr>
              <w:t>根据《建设项目环境影响评价分类管理名录》（2021 年本）的规定，</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本项目涉及喷漆工艺，总油漆</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含稀释剂、固化剂</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bCs/>
                <w:snapToGrid w:val="0"/>
                <w:color w:val="000000" w:themeColor="text1"/>
                <w:sz w:val="24"/>
                <w:highlight w:val="none"/>
                <w:u w:val="single"/>
                <w14:textFill>
                  <w14:solidFill>
                    <w14:schemeClr w14:val="tx1"/>
                  </w14:solidFill>
                </w14:textFill>
              </w:rPr>
              <w:t>使用量为9.657t/a，</w:t>
            </w:r>
            <w:r>
              <w:rPr>
                <w:rFonts w:hint="default" w:ascii="Times New Roman" w:hAnsi="Times New Roman" w:cs="Times New Roman"/>
                <w:bCs/>
                <w:snapToGrid w:val="0"/>
                <w:color w:val="000000" w:themeColor="text1"/>
                <w:sz w:val="24"/>
                <w:highlight w:val="none"/>
                <w14:textFill>
                  <w14:solidFill>
                    <w14:schemeClr w14:val="tx1"/>
                  </w14:solidFill>
                </w14:textFill>
              </w:rPr>
              <w:t>项目属于“</w:t>
            </w:r>
            <w:r>
              <w:rPr>
                <w:rFonts w:hint="default" w:ascii="Times New Roman" w:hAnsi="Times New Roman" w:cs="Times New Roman"/>
                <w:color w:val="000000" w:themeColor="text1"/>
                <w:sz w:val="24"/>
                <w:highlight w:val="none"/>
                <w14:textFill>
                  <w14:solidFill>
                    <w14:schemeClr w14:val="tx1"/>
                  </w14:solidFill>
                </w14:textFill>
              </w:rPr>
              <w:t>三十-66结构性金属制品制造;金属工具制造331-其他</w:t>
            </w:r>
            <w:r>
              <w:rPr>
                <w:rFonts w:hint="default" w:ascii="Times New Roman" w:hAnsi="Times New Roman" w:cs="Times New Roman"/>
                <w:bCs/>
                <w:snapToGrid w:val="0"/>
                <w:color w:val="000000" w:themeColor="text1"/>
                <w:sz w:val="24"/>
                <w:highlight w:val="none"/>
                <w14:textFill>
                  <w14:solidFill>
                    <w14:schemeClr w14:val="tx1"/>
                  </w14:solidFill>
                </w14:textFill>
              </w:rPr>
              <w:t>”，应编制环境影响报告表。为此，受建设单位委托，湖南晶康环保</w:t>
            </w:r>
            <w:r>
              <w:rPr>
                <w:rFonts w:hint="default" w:ascii="Times New Roman" w:hAnsi="Times New Roman" w:cs="Times New Roman"/>
                <w:bCs/>
                <w:snapToGrid w:val="0"/>
                <w:color w:val="000000" w:themeColor="text1"/>
                <w:sz w:val="24"/>
                <w:highlight w:val="none"/>
                <w14:textFill>
                  <w14:solidFill>
                    <w14:schemeClr w14:val="tx1"/>
                  </w14:solidFill>
                </w14:textFill>
              </w:rPr>
              <w:t>科技</w:t>
            </w:r>
            <w:r>
              <w:rPr>
                <w:rFonts w:hint="default" w:ascii="Times New Roman" w:hAnsi="Times New Roman" w:cs="Times New Roman"/>
                <w:bCs/>
                <w:snapToGrid w:val="0"/>
                <w:color w:val="000000" w:themeColor="text1"/>
                <w:sz w:val="24"/>
                <w:highlight w:val="none"/>
                <w14:textFill>
                  <w14:solidFill>
                    <w14:schemeClr w14:val="tx1"/>
                  </w14:solidFill>
                </w14:textFill>
              </w:rPr>
              <w:t>有限公司（以下简称我公司）承担本项目环境影响评价工作，我公司接收委托后，对项目进行了现场踏勘和资料收集，在工程分析及影响分析的</w:t>
            </w:r>
            <w:r>
              <w:rPr>
                <w:rFonts w:hint="default" w:ascii="Times New Roman" w:hAnsi="Times New Roman" w:cs="Times New Roman"/>
                <w:bCs/>
                <w:snapToGrid w:val="0"/>
                <w:color w:val="000000" w:themeColor="text1"/>
                <w:sz w:val="24"/>
                <w:highlight w:val="none"/>
                <w14:textFill>
                  <w14:solidFill>
                    <w14:schemeClr w14:val="tx1"/>
                  </w14:solidFill>
                </w14:textFill>
              </w:rPr>
              <w:t>基础上，按相关技术规</w:t>
            </w:r>
            <w:r>
              <w:rPr>
                <w:rFonts w:hint="default" w:ascii="Times New Roman" w:hAnsi="Times New Roman" w:cs="Times New Roman"/>
                <w:bCs/>
                <w:snapToGrid w:val="0"/>
                <w:color w:val="000000" w:themeColor="text1"/>
                <w:sz w:val="24"/>
                <w:highlight w:val="none"/>
                <w14:textFill>
                  <w14:solidFill>
                    <w14:schemeClr w14:val="tx1"/>
                  </w14:solidFill>
                </w14:textFill>
              </w:rPr>
              <w:t>范编制本项目环境影响报告表。</w:t>
            </w:r>
          </w:p>
          <w:p w14:paraId="1BAAFEB3">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2、项目组成内容</w:t>
            </w:r>
          </w:p>
          <w:p w14:paraId="09F9D20D">
            <w:pPr>
              <w:pStyle w:val="63"/>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（1）项目组成</w:t>
            </w:r>
          </w:p>
          <w:p w14:paraId="4FFBF8F7">
            <w:pPr>
              <w:pStyle w:val="63"/>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本次改扩仅新增行车、激光切割机、气刨焊机、消防设施等设备，</w:t>
            </w:r>
            <w:r>
              <w:rPr>
                <w:rFonts w:hint="default" w:ascii="Times New Roman" w:hAnsi="Times New Roman" w:cs="Times New Roman"/>
                <w:color w:val="000000" w:themeColor="text1"/>
                <w:szCs w:val="24"/>
                <w:highlight w:val="none"/>
                <w14:textFill>
                  <w14:solidFill>
                    <w14:schemeClr w14:val="tx1"/>
                  </w14:solidFill>
                </w14:textFill>
              </w:rPr>
              <w:t>利用通道新建980m</w:t>
            </w:r>
            <w:r>
              <w:rPr>
                <w:rFonts w:hint="default" w:ascii="Times New Roman" w:hAnsi="Times New Roman" w:cs="Times New Roman"/>
                <w:color w:val="000000" w:themeColor="text1"/>
                <w:szCs w:val="24"/>
                <w:highlight w:val="none"/>
                <w:vertAlign w:val="superscript"/>
                <w14:textFill>
                  <w14:solidFill>
                    <w14:schemeClr w14:val="tx1"/>
                  </w14:solidFill>
                </w14:textFill>
              </w:rPr>
              <w:t>2</w:t>
            </w:r>
            <w:r>
              <w:rPr>
                <w:rFonts w:hint="default" w:ascii="Times New Roman" w:hAnsi="Times New Roman" w:cs="Times New Roman"/>
                <w:color w:val="000000" w:themeColor="text1"/>
                <w:szCs w:val="24"/>
                <w:highlight w:val="none"/>
                <w14:textFill>
                  <w14:solidFill>
                    <w14:schemeClr w14:val="tx1"/>
                  </w14:solidFill>
                </w14:textFill>
              </w:rPr>
              <w:t>填充车间，</w:t>
            </w:r>
            <w:r>
              <w:rPr>
                <w:rFonts w:hint="default" w:ascii="Times New Roman" w:hAnsi="Times New Roman" w:cs="Times New Roman"/>
                <w:color w:val="000000" w:themeColor="text1"/>
                <w:szCs w:val="24"/>
                <w:highlight w:val="none"/>
                <w14:textFill>
                  <w14:solidFill>
                    <w14:schemeClr w14:val="tx1"/>
                  </w14:solidFill>
                </w14:textFill>
              </w:rPr>
              <w:t>并</w:t>
            </w:r>
            <w:r>
              <w:rPr>
                <w:rFonts w:hint="default" w:ascii="Times New Roman" w:hAnsi="Times New Roman" w:cs="Times New Roman"/>
                <w:color w:val="000000" w:themeColor="text1"/>
                <w:szCs w:val="24"/>
                <w:highlight w:val="none"/>
                <w:u w:val="single"/>
                <w14:textFill>
                  <w14:solidFill>
                    <w14:schemeClr w14:val="tx1"/>
                  </w14:solidFill>
                </w14:textFill>
              </w:rPr>
              <w:t>对现有废气处理设施进行优化升级，</w:t>
            </w:r>
            <w:r>
              <w:rPr>
                <w:rFonts w:hint="default" w:ascii="Times New Roman" w:hAnsi="Times New Roman" w:cs="Times New Roman"/>
                <w:color w:val="000000" w:themeColor="text1"/>
                <w:szCs w:val="24"/>
                <w:highlight w:val="none"/>
                <w14:textFill>
                  <w14:solidFill>
                    <w14:schemeClr w14:val="tx1"/>
                  </w14:solidFill>
                </w14:textFill>
              </w:rPr>
              <w:t>其余均依托原有工程。</w:t>
            </w:r>
            <w:r>
              <w:rPr>
                <w:rFonts w:hint="default" w:ascii="Times New Roman" w:hAnsi="Times New Roman" w:cs="Times New Roman"/>
                <w:color w:val="000000" w:themeColor="text1"/>
                <w:highlight w:val="none"/>
                <w14:textFill>
                  <w14:solidFill>
                    <w14:schemeClr w14:val="tx1"/>
                  </w14:solidFill>
                </w14:textFill>
              </w:rPr>
              <w:t>本项目主要建设内容见表2-1。</w:t>
            </w:r>
          </w:p>
          <w:p w14:paraId="108AF712">
            <w:pPr>
              <w:pStyle w:val="64"/>
              <w:spacing w:beforeLines="0" w:afterLine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表2-1   项目主要建设内容一览表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1049"/>
              <w:gridCol w:w="5708"/>
              <w:gridCol w:w="1164"/>
            </w:tblGrid>
            <w:tr w14:paraId="5D91B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Align w:val="center"/>
                </w:tcPr>
                <w:p w14:paraId="3E353120">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工程类别</w:t>
                  </w:r>
                </w:p>
              </w:tc>
              <w:tc>
                <w:tcPr>
                  <w:tcW w:w="613" w:type="pct"/>
                  <w:vAlign w:val="center"/>
                </w:tcPr>
                <w:p w14:paraId="19AA6C5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工程名称</w:t>
                  </w:r>
                </w:p>
              </w:tc>
              <w:tc>
                <w:tcPr>
                  <w:tcW w:w="3335" w:type="pct"/>
                  <w:vAlign w:val="center"/>
                </w:tcPr>
                <w:p w14:paraId="3A0A5B8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工程建设内容</w:t>
                  </w:r>
                </w:p>
              </w:tc>
              <w:tc>
                <w:tcPr>
                  <w:tcW w:w="680" w:type="pct"/>
                  <w:vAlign w:val="center"/>
                </w:tcPr>
                <w:p w14:paraId="3A655C4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备注</w:t>
                  </w:r>
                </w:p>
              </w:tc>
            </w:tr>
            <w:tr w14:paraId="496E8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restart"/>
                  <w:vAlign w:val="center"/>
                </w:tcPr>
                <w:p w14:paraId="3B64A69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主体工程</w:t>
                  </w:r>
                </w:p>
              </w:tc>
              <w:tc>
                <w:tcPr>
                  <w:tcW w:w="613" w:type="pct"/>
                  <w:shd w:val="clear" w:color="auto" w:fill="auto"/>
                  <w:vAlign w:val="center"/>
                </w:tcPr>
                <w:p w14:paraId="1F57E2D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车间1（机加工车间）</w:t>
                  </w:r>
                </w:p>
              </w:tc>
              <w:tc>
                <w:tcPr>
                  <w:tcW w:w="3335" w:type="pct"/>
                  <w:shd w:val="clear" w:color="auto" w:fill="auto"/>
                  <w:vAlign w:val="center"/>
                </w:tcPr>
                <w:p w14:paraId="09A6593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1F，层高10m，建筑面积13816.5m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，其中机加工生产区约6910m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、来料待加工区500m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、成品暂存区约2300m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及配套的环保设备等</w:t>
                  </w:r>
                  <w:r>
                    <w:rPr>
                      <w:rFonts w:hint="default" w:ascii="Times New Roman" w:hAnsi="Times New Roman" w:cs="Times New Roman"/>
                      <w:color w:val="000000" w:themeColor="text1"/>
                      <w:szCs w:val="21"/>
                      <w:highlight w:val="none"/>
                      <w14:textFill>
                        <w14:solidFill>
                          <w14:schemeClr w14:val="tx1"/>
                        </w14:solidFill>
                      </w14:textFill>
                    </w:rPr>
                    <w:t>。</w:t>
                  </w:r>
                </w:p>
              </w:tc>
              <w:tc>
                <w:tcPr>
                  <w:tcW w:w="680" w:type="pct"/>
                  <w:vAlign w:val="center"/>
                </w:tcPr>
                <w:p w14:paraId="4DB8E67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w:t>
                  </w:r>
                </w:p>
              </w:tc>
            </w:tr>
            <w:tr w14:paraId="401D7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314461C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shd w:val="clear" w:color="auto" w:fill="auto"/>
                  <w:vAlign w:val="center"/>
                </w:tcPr>
                <w:p w14:paraId="2768B0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车间2（装配车间）</w:t>
                  </w:r>
                </w:p>
              </w:tc>
              <w:tc>
                <w:tcPr>
                  <w:tcW w:w="3335" w:type="pct"/>
                  <w:shd w:val="clear" w:color="auto" w:fill="auto"/>
                  <w:vAlign w:val="center"/>
                </w:tcPr>
                <w:p w14:paraId="763A3788">
                  <w:pPr>
                    <w:jc w:val="center"/>
                    <w:rPr>
                      <w:rFonts w:hint="default" w:ascii="Times New Roman" w:hAnsi="Times New Roman" w:cs="Times New Roman"/>
                      <w:color w:val="000000" w:themeColor="text1"/>
                      <w:kern w:val="0"/>
                      <w:sz w:val="18"/>
                      <w:szCs w:val="20"/>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1F，层高10m，建筑面积11405.76m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，其中结构件生产区约7100m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、装配区600m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、成品暂存区约1900m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，喷砂房400m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喷漆</w:t>
                  </w:r>
                  <w:r>
                    <w:rPr>
                      <w:rFonts w:hint="default" w:ascii="Times New Roman" w:hAnsi="Times New Roman" w:cs="Times New Roman"/>
                      <w:color w:val="000000" w:themeColor="text1"/>
                      <w:szCs w:val="21"/>
                      <w:highlight w:val="none"/>
                      <w:lang w:val="en-US" w:eastAsia="zh-CN"/>
                      <w14:textFill>
                        <w14:solidFill>
                          <w14:schemeClr w14:val="tx1"/>
                        </w14:solidFill>
                      </w14:textFill>
                    </w:rPr>
                    <w:t>房</w:t>
                  </w:r>
                  <w:r>
                    <w:rPr>
                      <w:rFonts w:hint="default" w:ascii="Times New Roman" w:hAnsi="Times New Roman" w:cs="Times New Roman"/>
                      <w:color w:val="000000" w:themeColor="text1"/>
                      <w:szCs w:val="21"/>
                      <w:highlight w:val="none"/>
                      <w14:textFill>
                        <w14:solidFill>
                          <w14:schemeClr w14:val="tx1"/>
                        </w14:solidFill>
                      </w14:textFill>
                    </w:rPr>
                    <w:t>60m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活动</w:t>
                  </w:r>
                  <w:r>
                    <w:rPr>
                      <w:rFonts w:hint="default" w:ascii="Times New Roman" w:hAnsi="Times New Roman" w:cs="Times New Roman"/>
                      <w:color w:val="000000" w:themeColor="text1"/>
                      <w:szCs w:val="21"/>
                      <w:highlight w:val="none"/>
                      <w:u w:val="single"/>
                      <w14:textFill>
                        <w14:solidFill>
                          <w14:schemeClr w14:val="tx1"/>
                        </w14:solidFill>
                      </w14:textFill>
                    </w:rPr>
                    <w:t>封闭</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式</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烘烤</w:t>
                  </w:r>
                  <w:r>
                    <w:rPr>
                      <w:rFonts w:hint="default" w:ascii="Times New Roman" w:hAnsi="Times New Roman" w:cs="Times New Roman"/>
                      <w:color w:val="000000" w:themeColor="text1"/>
                      <w:szCs w:val="21"/>
                      <w:highlight w:val="none"/>
                      <w14:textFill>
                        <w14:solidFill>
                          <w14:schemeClr w14:val="tx1"/>
                        </w14:solidFill>
                      </w14:textFill>
                    </w:rPr>
                    <w:t>房60.5m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活动</w:t>
                  </w:r>
                  <w:r>
                    <w:rPr>
                      <w:rFonts w:hint="default" w:ascii="Times New Roman" w:hAnsi="Times New Roman" w:cs="Times New Roman"/>
                      <w:color w:val="000000" w:themeColor="text1"/>
                      <w:szCs w:val="21"/>
                      <w:highlight w:val="none"/>
                      <w:u w:val="single"/>
                      <w14:textFill>
                        <w14:solidFill>
                          <w14:schemeClr w14:val="tx1"/>
                        </w14:solidFill>
                      </w14:textFill>
                    </w:rPr>
                    <w:t>封闭</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式</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外购件仓库960m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及配套的环保设备等</w:t>
                  </w:r>
                  <w:r>
                    <w:rPr>
                      <w:rFonts w:hint="default" w:ascii="Times New Roman" w:hAnsi="Times New Roman" w:cs="Times New Roman"/>
                      <w:color w:val="000000" w:themeColor="text1"/>
                      <w:szCs w:val="21"/>
                      <w:highlight w:val="none"/>
                      <w14:textFill>
                        <w14:solidFill>
                          <w14:schemeClr w14:val="tx1"/>
                        </w14:solidFill>
                      </w14:textFill>
                    </w:rPr>
                    <w:t>。</w:t>
                  </w:r>
                </w:p>
              </w:tc>
              <w:tc>
                <w:tcPr>
                  <w:tcW w:w="680" w:type="pct"/>
                  <w:vAlign w:val="center"/>
                </w:tcPr>
                <w:p w14:paraId="3271502C">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w:t>
                  </w:r>
                </w:p>
              </w:tc>
            </w:tr>
            <w:tr w14:paraId="11BB8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44F3A56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shd w:val="clear" w:color="auto" w:fill="auto"/>
                  <w:vAlign w:val="center"/>
                </w:tcPr>
                <w:p w14:paraId="521C52E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车间3（填充车间）</w:t>
                  </w:r>
                </w:p>
              </w:tc>
              <w:tc>
                <w:tcPr>
                  <w:tcW w:w="3335" w:type="pct"/>
                  <w:shd w:val="clear" w:color="auto" w:fill="auto"/>
                  <w:vAlign w:val="center"/>
                </w:tcPr>
                <w:p w14:paraId="23A45702">
                  <w:pPr>
                    <w:jc w:val="left"/>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湿式填充：1F，层高10m，</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总</w:t>
                  </w:r>
                  <w:r>
                    <w:rPr>
                      <w:rFonts w:hint="default" w:ascii="Times New Roman" w:hAnsi="Times New Roman" w:cs="Times New Roman"/>
                      <w:color w:val="000000" w:themeColor="text1"/>
                      <w:szCs w:val="21"/>
                      <w:highlight w:val="none"/>
                      <w:u w:val="single"/>
                      <w14:textFill>
                        <w14:solidFill>
                          <w14:schemeClr w14:val="tx1"/>
                        </w14:solidFill>
                      </w14:textFill>
                    </w:rPr>
                    <w:t>建筑面积980m</w:t>
                  </w:r>
                  <w:r>
                    <w:rPr>
                      <w:rFonts w:hint="default" w:ascii="Times New Roman" w:hAnsi="Times New Roman" w:cs="Times New Roman"/>
                      <w:color w:val="000000" w:themeColor="text1"/>
                      <w:szCs w:val="21"/>
                      <w:highlight w:val="none"/>
                      <w:u w:val="singl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vertAlign w:val="baseline"/>
                      <w:lang w:eastAsia="zh-CN"/>
                      <w14:textFill>
                        <w14:solidFill>
                          <w14:schemeClr w14:val="tx1"/>
                        </w14:solidFill>
                      </w14:textFill>
                    </w:rPr>
                    <w:t>（</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填充区365</w:t>
                  </w:r>
                  <w:r>
                    <w:rPr>
                      <w:rFonts w:hint="default" w:ascii="Times New Roman" w:hAnsi="Times New Roman" w:cs="Times New Roman"/>
                      <w:color w:val="000000" w:themeColor="text1"/>
                      <w:szCs w:val="21"/>
                      <w:highlight w:val="none"/>
                      <w:u w:val="single"/>
                      <w14:textFill>
                        <w14:solidFill>
                          <w14:schemeClr w14:val="tx1"/>
                        </w14:solidFill>
                      </w14:textFill>
                    </w:rPr>
                    <w:t>m</w:t>
                  </w:r>
                  <w:r>
                    <w:rPr>
                      <w:rFonts w:hint="default" w:ascii="Times New Roman" w:hAnsi="Times New Roman" w:cs="Times New Roman"/>
                      <w:color w:val="000000" w:themeColor="text1"/>
                      <w:szCs w:val="21"/>
                      <w:highlight w:val="none"/>
                      <w:u w:val="singl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填充料存放区610.2</w:t>
                  </w:r>
                  <w:r>
                    <w:rPr>
                      <w:rFonts w:hint="default" w:ascii="Times New Roman" w:hAnsi="Times New Roman" w:cs="Times New Roman"/>
                      <w:color w:val="000000" w:themeColor="text1"/>
                      <w:szCs w:val="21"/>
                      <w:highlight w:val="none"/>
                      <w:u w:val="single"/>
                      <w14:textFill>
                        <w14:solidFill>
                          <w14:schemeClr w14:val="tx1"/>
                        </w14:solidFill>
                      </w14:textFill>
                    </w:rPr>
                    <w:t>m</w:t>
                  </w:r>
                  <w:r>
                    <w:rPr>
                      <w:rFonts w:hint="default" w:ascii="Times New Roman" w:hAnsi="Times New Roman" w:cs="Times New Roman"/>
                      <w:color w:val="000000" w:themeColor="text1"/>
                      <w:szCs w:val="21"/>
                      <w:highlight w:val="none"/>
                      <w:u w:val="singl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，废水收集沉淀池4.8m</w:t>
                  </w:r>
                  <w:r>
                    <w:rPr>
                      <w:rFonts w:hint="default" w:ascii="Times New Roman" w:hAnsi="Times New Roman" w:cs="Times New Roman"/>
                      <w:color w:val="000000" w:themeColor="text1"/>
                      <w:szCs w:val="21"/>
                      <w:highlight w:val="none"/>
                      <w:u w:val="single"/>
                      <w:vertAlign w:val="superscript"/>
                      <w:lang w:val="en-US" w:eastAsia="zh-CN"/>
                      <w14:textFill>
                        <w14:solidFill>
                          <w14:schemeClr w14:val="tx1"/>
                        </w14:solidFill>
                      </w14:textFill>
                    </w:rPr>
                    <w:t>2</w:t>
                  </w:r>
                  <w:r>
                    <w:rPr>
                      <w:rFonts w:hint="default" w:ascii="Times New Roman" w:hAnsi="Times New Roman" w:cs="Times New Roman"/>
                      <w:color w:val="000000" w:themeColor="text1"/>
                      <w:szCs w:val="21"/>
                      <w:highlight w:val="none"/>
                      <w:u w:val="single"/>
                      <w:vertAlign w:val="baseline"/>
                      <w:lang w:eastAsia="zh-CN"/>
                      <w14:textFill>
                        <w14:solidFill>
                          <w14:schemeClr w14:val="tx1"/>
                        </w14:solidFill>
                      </w14:textFill>
                    </w:rPr>
                    <w:t>）</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w:t>
                  </w:r>
                  <w:r>
                    <w:rPr>
                      <w:rFonts w:hint="default" w:ascii="Times New Roman" w:hAnsi="Times New Roman" w:cs="Times New Roman"/>
                      <w:color w:val="000000" w:themeColor="text1"/>
                      <w:szCs w:val="21"/>
                      <w:highlight w:val="none"/>
                      <w:u w:val="single"/>
                      <w14:textFill>
                        <w14:solidFill>
                          <w14:schemeClr w14:val="tx1"/>
                        </w14:solidFill>
                      </w14:textFill>
                    </w:rPr>
                    <w:t>位于车间1北侧；</w:t>
                  </w:r>
                </w:p>
                <w:p w14:paraId="72AAB653">
                  <w:pPr>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干式填充：1F，层高10m，</w:t>
                  </w: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填充区</w:t>
                  </w:r>
                  <w:r>
                    <w:rPr>
                      <w:rFonts w:hint="default" w:ascii="Times New Roman" w:hAnsi="Times New Roman" w:cs="Times New Roman"/>
                      <w:color w:val="000000" w:themeColor="text1"/>
                      <w:szCs w:val="21"/>
                      <w:highlight w:val="none"/>
                      <w:u w:val="single"/>
                      <w14:textFill>
                        <w14:solidFill>
                          <w14:schemeClr w14:val="tx1"/>
                        </w14:solidFill>
                      </w14:textFill>
                    </w:rPr>
                    <w:t>建筑面积1600m</w:t>
                  </w:r>
                  <w:r>
                    <w:rPr>
                      <w:rFonts w:hint="default" w:ascii="Times New Roman" w:hAnsi="Times New Roman" w:cs="Times New Roman"/>
                      <w:color w:val="000000" w:themeColor="text1"/>
                      <w:szCs w:val="21"/>
                      <w:highlight w:val="none"/>
                      <w:u w:val="single"/>
                      <w:vertAlign w:val="superscript"/>
                      <w14:textFill>
                        <w14:solidFill>
                          <w14:schemeClr w14:val="tx1"/>
                        </w14:solidFill>
                      </w14:textFill>
                    </w:rPr>
                    <w:t>2</w:t>
                  </w:r>
                  <w:r>
                    <w:rPr>
                      <w:rFonts w:hint="default" w:ascii="Times New Roman" w:hAnsi="Times New Roman" w:cs="Times New Roman"/>
                      <w:color w:val="000000" w:themeColor="text1"/>
                      <w:szCs w:val="21"/>
                      <w:highlight w:val="none"/>
                      <w:u w:val="single"/>
                      <w14:textFill>
                        <w14:solidFill>
                          <w14:schemeClr w14:val="tx1"/>
                        </w14:solidFill>
                      </w14:textFill>
                    </w:rPr>
                    <w:t>，位于车间1中部东侧及车间2中部西侧区域</w:t>
                  </w:r>
                </w:p>
              </w:tc>
              <w:tc>
                <w:tcPr>
                  <w:tcW w:w="680" w:type="pct"/>
                  <w:vAlign w:val="center"/>
                </w:tcPr>
                <w:p w14:paraId="1A217CC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新建</w:t>
                  </w:r>
                </w:p>
              </w:tc>
            </w:tr>
            <w:tr w14:paraId="79FE7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restart"/>
                  <w:vAlign w:val="center"/>
                </w:tcPr>
                <w:p w14:paraId="62884D0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辅助工程</w:t>
                  </w:r>
                </w:p>
              </w:tc>
              <w:tc>
                <w:tcPr>
                  <w:tcW w:w="613" w:type="pct"/>
                  <w:shd w:val="clear" w:color="auto" w:fill="auto"/>
                  <w:vAlign w:val="center"/>
                </w:tcPr>
                <w:p w14:paraId="21FF7BBB">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调漆间</w:t>
                  </w:r>
                </w:p>
              </w:tc>
              <w:tc>
                <w:tcPr>
                  <w:tcW w:w="3335" w:type="pct"/>
                  <w:shd w:val="clear" w:color="auto" w:fill="auto"/>
                  <w:vAlign w:val="center"/>
                </w:tcPr>
                <w:p w14:paraId="613A7046">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含喷枪清洗，</w:t>
                  </w:r>
                  <w:r>
                    <w:rPr>
                      <w:rFonts w:hint="default" w:ascii="Times New Roman" w:hAnsi="Times New Roman" w:cs="Times New Roman"/>
                      <w:color w:val="000000" w:themeColor="text1"/>
                      <w:kern w:val="2"/>
                      <w:highlight w:val="none"/>
                      <w:u w:val="single"/>
                      <w14:textFill>
                        <w14:solidFill>
                          <w14:schemeClr w14:val="tx1"/>
                        </w14:solidFill>
                      </w14:textFill>
                    </w:rPr>
                    <w:t>建筑面积20m</w:t>
                  </w:r>
                  <w:r>
                    <w:rPr>
                      <w:rFonts w:hint="default" w:ascii="Times New Roman" w:hAnsi="Times New Roman" w:cs="Times New Roman"/>
                      <w:color w:val="000000" w:themeColor="text1"/>
                      <w:kern w:val="2"/>
                      <w:highlight w:val="none"/>
                      <w:u w:val="single"/>
                      <w:vertAlign w:val="superscript"/>
                      <w14:textFill>
                        <w14:solidFill>
                          <w14:schemeClr w14:val="tx1"/>
                        </w14:solidFill>
                      </w14:textFill>
                    </w:rPr>
                    <w:t>2</w:t>
                  </w:r>
                  <w:r>
                    <w:rPr>
                      <w:rFonts w:hint="default" w:ascii="Times New Roman" w:hAnsi="Times New Roman" w:cs="Times New Roman"/>
                      <w:color w:val="000000" w:themeColor="text1"/>
                      <w:kern w:val="2"/>
                      <w:highlight w:val="none"/>
                      <w:u w:val="single"/>
                      <w14:textFill>
                        <w14:solidFill>
                          <w14:schemeClr w14:val="tx1"/>
                        </w14:solidFill>
                      </w14:textFill>
                    </w:rPr>
                    <w:t>，用于油性漆的调配，位于车间2东</w:t>
                  </w:r>
                  <w:r>
                    <w:rPr>
                      <w:rFonts w:hint="default" w:ascii="Times New Roman" w:hAnsi="Times New Roman" w:cs="Times New Roman"/>
                      <w:color w:val="000000" w:themeColor="text1"/>
                      <w:kern w:val="2"/>
                      <w:highlight w:val="none"/>
                      <w:u w:val="single"/>
                      <w14:textFill>
                        <w14:solidFill>
                          <w14:schemeClr w14:val="tx1"/>
                        </w14:solidFill>
                      </w14:textFill>
                    </w:rPr>
                    <w:t>北</w:t>
                  </w:r>
                  <w:r>
                    <w:rPr>
                      <w:rFonts w:hint="default" w:ascii="Times New Roman" w:hAnsi="Times New Roman" w:cs="Times New Roman"/>
                      <w:color w:val="000000" w:themeColor="text1"/>
                      <w:kern w:val="2"/>
                      <w:highlight w:val="none"/>
                      <w:u w:val="single"/>
                      <w14:textFill>
                        <w14:solidFill>
                          <w14:schemeClr w14:val="tx1"/>
                        </w14:solidFill>
                      </w14:textFill>
                    </w:rPr>
                    <w:t>角</w:t>
                  </w:r>
                </w:p>
              </w:tc>
              <w:tc>
                <w:tcPr>
                  <w:tcW w:w="680" w:type="pct"/>
                  <w:vAlign w:val="center"/>
                </w:tcPr>
                <w:p w14:paraId="19F2283D">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依托</w:t>
                  </w:r>
                </w:p>
              </w:tc>
            </w:tr>
            <w:tr w14:paraId="2C2D6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32BB32F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529E213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办公用房</w:t>
                  </w:r>
                </w:p>
              </w:tc>
              <w:tc>
                <w:tcPr>
                  <w:tcW w:w="3335" w:type="pct"/>
                  <w:vAlign w:val="center"/>
                </w:tcPr>
                <w:p w14:paraId="176E0B4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办公，2F，总建筑面积1141.02m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680" w:type="pct"/>
                  <w:vAlign w:val="center"/>
                </w:tcPr>
                <w:p w14:paraId="73B2C49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63F8E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641B1EC0">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7F77888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食堂</w:t>
                  </w:r>
                </w:p>
              </w:tc>
              <w:tc>
                <w:tcPr>
                  <w:tcW w:w="3335" w:type="pct"/>
                  <w:vAlign w:val="center"/>
                </w:tcPr>
                <w:p w14:paraId="27BCDE7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职工就餐，1F，总建筑面积567m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680" w:type="pct"/>
                  <w:vAlign w:val="center"/>
                </w:tcPr>
                <w:p w14:paraId="13B00D3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5CA7F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5ECF594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53A0075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倒班宿舍</w:t>
                  </w:r>
                </w:p>
              </w:tc>
              <w:tc>
                <w:tcPr>
                  <w:tcW w:w="3335" w:type="pct"/>
                  <w:vAlign w:val="center"/>
                </w:tcPr>
                <w:p w14:paraId="3D46E16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职工住宿，1层，总建筑面积420 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680" w:type="pct"/>
                  <w:vAlign w:val="center"/>
                </w:tcPr>
                <w:p w14:paraId="634156B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5FBA9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32150AD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6C4EDFC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门卫室</w:t>
                  </w:r>
                </w:p>
              </w:tc>
              <w:tc>
                <w:tcPr>
                  <w:tcW w:w="3335" w:type="pct"/>
                  <w:vAlign w:val="center"/>
                </w:tcPr>
                <w:p w14:paraId="28ECD70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安全、保卫，建筑面积9 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680" w:type="pct"/>
                  <w:vAlign w:val="center"/>
                </w:tcPr>
                <w:p w14:paraId="2101DE5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59CF6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restart"/>
                  <w:vAlign w:val="center"/>
                </w:tcPr>
                <w:p w14:paraId="14D167F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储运工程</w:t>
                  </w:r>
                </w:p>
              </w:tc>
              <w:tc>
                <w:tcPr>
                  <w:tcW w:w="613" w:type="pct"/>
                  <w:vAlign w:val="center"/>
                </w:tcPr>
                <w:p w14:paraId="408F339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原料</w:t>
                  </w:r>
                </w:p>
                <w:p w14:paraId="50BC250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仓库</w:t>
                  </w:r>
                </w:p>
              </w:tc>
              <w:tc>
                <w:tcPr>
                  <w:tcW w:w="3335" w:type="pct"/>
                  <w:vAlign w:val="center"/>
                </w:tcPr>
                <w:p w14:paraId="5CE4E484">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 xml:space="preserve">1、在加工车间内置有面积约为288平方米内置板式办公室）； </w:t>
                  </w:r>
                </w:p>
                <w:p w14:paraId="541F8287">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 xml:space="preserve">2、在装配车间内置有面积约为960平方米辅助材料、焊料、五金部件、涂料仓库（网格隔离式、内置板式办公室）。 </w:t>
                  </w:r>
                </w:p>
                <w:p w14:paraId="57DF686E">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3、在装配车间置有面积约为240平方米板材料暂存区。</w:t>
                  </w:r>
                </w:p>
              </w:tc>
              <w:tc>
                <w:tcPr>
                  <w:tcW w:w="680" w:type="pct"/>
                  <w:vAlign w:val="center"/>
                </w:tcPr>
                <w:p w14:paraId="30B639A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w:t>
                  </w:r>
                </w:p>
              </w:tc>
            </w:tr>
            <w:tr w14:paraId="4FFB6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04172B2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07DF840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成品</w:t>
                  </w:r>
                </w:p>
                <w:p w14:paraId="24D9135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仓库</w:t>
                  </w:r>
                </w:p>
              </w:tc>
              <w:tc>
                <w:tcPr>
                  <w:tcW w:w="3335" w:type="pct"/>
                  <w:vAlign w:val="center"/>
                </w:tcPr>
                <w:p w14:paraId="36C750FD">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 xml:space="preserve">1、在加工车间内置有面积约为2300平方米成品仓库，由辅助材料仓管员统一管理。 </w:t>
                  </w:r>
                </w:p>
                <w:p w14:paraId="177ABABA">
                  <w:pPr>
                    <w:widowControl/>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2、在装配车间内置有约1900平方米成品暂存仓</w:t>
                  </w:r>
                </w:p>
              </w:tc>
              <w:tc>
                <w:tcPr>
                  <w:tcW w:w="680" w:type="pct"/>
                  <w:vAlign w:val="center"/>
                </w:tcPr>
                <w:p w14:paraId="5A5A299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w:t>
                  </w:r>
                </w:p>
              </w:tc>
            </w:tr>
            <w:tr w14:paraId="4E2E9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restart"/>
                  <w:vAlign w:val="center"/>
                </w:tcPr>
                <w:p w14:paraId="7AB0BA9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公用工程</w:t>
                  </w:r>
                </w:p>
              </w:tc>
              <w:tc>
                <w:tcPr>
                  <w:tcW w:w="613" w:type="pct"/>
                  <w:vAlign w:val="center"/>
                </w:tcPr>
                <w:p w14:paraId="68F4713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给水</w:t>
                  </w:r>
                </w:p>
              </w:tc>
              <w:tc>
                <w:tcPr>
                  <w:tcW w:w="3335" w:type="pct"/>
                  <w:vAlign w:val="center"/>
                </w:tcPr>
                <w:p w14:paraId="04A7B31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依托衡东经济开发区现有供水系统，由园区供水管网供应</w:t>
                  </w:r>
                </w:p>
              </w:tc>
              <w:tc>
                <w:tcPr>
                  <w:tcW w:w="680" w:type="pct"/>
                  <w:vAlign w:val="center"/>
                </w:tcPr>
                <w:p w14:paraId="308DE24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016DE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371" w:type="pct"/>
                  <w:vMerge w:val="continue"/>
                  <w:vAlign w:val="center"/>
                </w:tcPr>
                <w:p w14:paraId="6CCC6FE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79EDCA0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排水</w:t>
                  </w:r>
                </w:p>
              </w:tc>
              <w:tc>
                <w:tcPr>
                  <w:tcW w:w="3335" w:type="pct"/>
                  <w:vAlign w:val="center"/>
                </w:tcPr>
                <w:p w14:paraId="326B878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雨水收集后排入园区雨水管网</w:t>
                  </w:r>
                  <w:r>
                    <w:rPr>
                      <w:rFonts w:hint="default" w:ascii="Times New Roman" w:hAnsi="Times New Roman" w:cs="Times New Roman"/>
                      <w:color w:val="000000" w:themeColor="text1"/>
                      <w:kern w:val="2"/>
                      <w:highlight w:val="none"/>
                      <w14:textFill>
                        <w14:solidFill>
                          <w14:schemeClr w14:val="tx1"/>
                        </w14:solidFill>
                      </w14:textFill>
                    </w:rPr>
                    <w:t>；</w:t>
                  </w:r>
                  <w:r>
                    <w:rPr>
                      <w:rFonts w:hint="default" w:ascii="Times New Roman" w:hAnsi="Times New Roman" w:cs="Times New Roman"/>
                      <w:color w:val="000000" w:themeColor="text1"/>
                      <w:kern w:val="2"/>
                      <w:szCs w:val="21"/>
                      <w:highlight w:val="none"/>
                      <w:u w:val="single"/>
                      <w14:textFill>
                        <w14:solidFill>
                          <w14:schemeClr w14:val="tx1"/>
                        </w14:solidFill>
                      </w14:textFill>
                    </w:rPr>
                    <w:t>湿式填充车间的搅拌机清洗废水、作业区清洗废水经废水收集沉淀池处理后回用于</w:t>
                  </w:r>
                  <w:r>
                    <w:rPr>
                      <w:rFonts w:hint="default" w:ascii="Times New Roman" w:hAnsi="Times New Roman" w:cs="Times New Roman"/>
                      <w:color w:val="000000" w:themeColor="text1"/>
                      <w:szCs w:val="21"/>
                      <w:highlight w:val="none"/>
                      <w:u w:val="single"/>
                      <w14:textFill>
                        <w14:solidFill>
                          <w14:schemeClr w14:val="tx1"/>
                        </w14:solidFill>
                      </w14:textFill>
                    </w:rPr>
                    <w:t>上清液回用</w:t>
                  </w:r>
                  <w:r>
                    <w:rPr>
                      <w:rFonts w:hint="default" w:ascii="Times New Roman" w:hAnsi="Times New Roman" w:cs="Times New Roman"/>
                      <w:color w:val="000000" w:themeColor="text1"/>
                      <w:szCs w:val="21"/>
                      <w:highlight w:val="none"/>
                      <w:u w:val="single"/>
                      <w14:textFill>
                        <w14:solidFill>
                          <w14:schemeClr w14:val="tx1"/>
                        </w14:solidFill>
                      </w14:textFill>
                    </w:rPr>
                    <w:t>于混凝土搅拌工艺用水</w:t>
                  </w:r>
                </w:p>
              </w:tc>
              <w:tc>
                <w:tcPr>
                  <w:tcW w:w="680" w:type="pct"/>
                  <w:vAlign w:val="center"/>
                </w:tcPr>
                <w:p w14:paraId="623AB63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新建</w:t>
                  </w:r>
                </w:p>
              </w:tc>
            </w:tr>
            <w:tr w14:paraId="63FC1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7095357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2731AD1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供电</w:t>
                  </w:r>
                </w:p>
              </w:tc>
              <w:tc>
                <w:tcPr>
                  <w:tcW w:w="3335" w:type="pct"/>
                  <w:vAlign w:val="center"/>
                </w:tcPr>
                <w:p w14:paraId="37CB197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依托衡东经济开发区现有供电系统</w:t>
                  </w:r>
                </w:p>
              </w:tc>
              <w:tc>
                <w:tcPr>
                  <w:tcW w:w="680" w:type="pct"/>
                  <w:vAlign w:val="center"/>
                </w:tcPr>
                <w:p w14:paraId="059C9B3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459DB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restart"/>
                  <w:vAlign w:val="center"/>
                </w:tcPr>
                <w:p w14:paraId="5A325A9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环保工程</w:t>
                  </w:r>
                </w:p>
              </w:tc>
              <w:tc>
                <w:tcPr>
                  <w:tcW w:w="613" w:type="pct"/>
                  <w:vMerge w:val="restart"/>
                  <w:vAlign w:val="center"/>
                </w:tcPr>
                <w:p w14:paraId="58CA617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废气</w:t>
                  </w:r>
                </w:p>
              </w:tc>
              <w:tc>
                <w:tcPr>
                  <w:tcW w:w="3335" w:type="pct"/>
                  <w:vAlign w:val="center"/>
                </w:tcPr>
                <w:p w14:paraId="67091F4A">
                  <w:pPr>
                    <w:pStyle w:val="58"/>
                    <w:spacing w:before="24" w:after="24"/>
                    <w:jc w:val="both"/>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①等离子切割机下料粉尘：集气罩+布袋除尘+15m高排气筒（D001）；</w:t>
                  </w:r>
                </w:p>
              </w:tc>
              <w:tc>
                <w:tcPr>
                  <w:tcW w:w="680" w:type="pct"/>
                  <w:vAlign w:val="center"/>
                </w:tcPr>
                <w:p w14:paraId="640241A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72410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4EEEADCA">
                  <w:pPr>
                    <w:rPr>
                      <w:rFonts w:hint="default" w:ascii="Times New Roman" w:hAnsi="Times New Roman" w:cs="Times New Roman"/>
                      <w:color w:val="000000" w:themeColor="text1"/>
                      <w:highlight w:val="none"/>
                      <w14:textFill>
                        <w14:solidFill>
                          <w14:schemeClr w14:val="tx1"/>
                        </w14:solidFill>
                      </w14:textFill>
                    </w:rPr>
                  </w:pPr>
                </w:p>
              </w:tc>
              <w:tc>
                <w:tcPr>
                  <w:tcW w:w="613" w:type="pct"/>
                  <w:vMerge w:val="continue"/>
                  <w:vAlign w:val="center"/>
                </w:tcPr>
                <w:p w14:paraId="358E0BEE">
                  <w:pPr>
                    <w:rPr>
                      <w:rFonts w:hint="default" w:ascii="Times New Roman" w:hAnsi="Times New Roman" w:cs="Times New Roman"/>
                      <w:color w:val="000000" w:themeColor="text1"/>
                      <w:highlight w:val="none"/>
                      <w14:textFill>
                        <w14:solidFill>
                          <w14:schemeClr w14:val="tx1"/>
                        </w14:solidFill>
                      </w14:textFill>
                    </w:rPr>
                  </w:pPr>
                </w:p>
              </w:tc>
              <w:tc>
                <w:tcPr>
                  <w:tcW w:w="3335" w:type="pct"/>
                  <w:vAlign w:val="center"/>
                </w:tcPr>
                <w:p w14:paraId="256C725E">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②抛丸粉尘通过密闭收集+布袋除尘+15m高排气筒外排（DA002）；</w:t>
                  </w:r>
                </w:p>
              </w:tc>
              <w:tc>
                <w:tcPr>
                  <w:tcW w:w="680" w:type="pct"/>
                  <w:vAlign w:val="center"/>
                </w:tcPr>
                <w:p w14:paraId="4C6C4FD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w:t>
                  </w:r>
                </w:p>
              </w:tc>
            </w:tr>
            <w:tr w14:paraId="269DA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42F82647">
                  <w:pPr>
                    <w:rPr>
                      <w:rFonts w:hint="default" w:ascii="Times New Roman" w:hAnsi="Times New Roman" w:cs="Times New Roman"/>
                      <w:color w:val="000000" w:themeColor="text1"/>
                      <w:highlight w:val="none"/>
                      <w14:textFill>
                        <w14:solidFill>
                          <w14:schemeClr w14:val="tx1"/>
                        </w14:solidFill>
                      </w14:textFill>
                    </w:rPr>
                  </w:pPr>
                </w:p>
              </w:tc>
              <w:tc>
                <w:tcPr>
                  <w:tcW w:w="613" w:type="pct"/>
                  <w:vMerge w:val="continue"/>
                  <w:vAlign w:val="center"/>
                </w:tcPr>
                <w:p w14:paraId="44E15A51">
                  <w:pPr>
                    <w:rPr>
                      <w:rFonts w:hint="default" w:ascii="Times New Roman" w:hAnsi="Times New Roman" w:cs="Times New Roman"/>
                      <w:color w:val="000000" w:themeColor="text1"/>
                      <w:highlight w:val="none"/>
                      <w14:textFill>
                        <w14:solidFill>
                          <w14:schemeClr w14:val="tx1"/>
                        </w14:solidFill>
                      </w14:textFill>
                    </w:rPr>
                  </w:pPr>
                </w:p>
              </w:tc>
              <w:tc>
                <w:tcPr>
                  <w:tcW w:w="3335" w:type="pct"/>
                  <w:vAlign w:val="center"/>
                </w:tcPr>
                <w:p w14:paraId="1452BE2E">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③腻子打磨区粉尘设置密闭负压收集+布袋除尘</w:t>
                  </w:r>
                </w:p>
              </w:tc>
              <w:tc>
                <w:tcPr>
                  <w:tcW w:w="680" w:type="pct"/>
                  <w:vAlign w:val="center"/>
                </w:tcPr>
                <w:p w14:paraId="45569BA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w:t>
                  </w:r>
                </w:p>
              </w:tc>
            </w:tr>
            <w:tr w14:paraId="67FDF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0A162048">
                  <w:pPr>
                    <w:rPr>
                      <w:rFonts w:hint="default" w:ascii="Times New Roman" w:hAnsi="Times New Roman" w:cs="Times New Roman"/>
                      <w:color w:val="000000" w:themeColor="text1"/>
                      <w:highlight w:val="none"/>
                      <w14:textFill>
                        <w14:solidFill>
                          <w14:schemeClr w14:val="tx1"/>
                        </w14:solidFill>
                      </w14:textFill>
                    </w:rPr>
                  </w:pPr>
                </w:p>
              </w:tc>
              <w:tc>
                <w:tcPr>
                  <w:tcW w:w="613" w:type="pct"/>
                  <w:vMerge w:val="continue"/>
                  <w:vAlign w:val="center"/>
                </w:tcPr>
                <w:p w14:paraId="0DE12BA6">
                  <w:pPr>
                    <w:rPr>
                      <w:rFonts w:hint="default" w:ascii="Times New Roman" w:hAnsi="Times New Roman" w:cs="Times New Roman"/>
                      <w:color w:val="000000" w:themeColor="text1"/>
                      <w:highlight w:val="none"/>
                      <w14:textFill>
                        <w14:solidFill>
                          <w14:schemeClr w14:val="tx1"/>
                        </w14:solidFill>
                      </w14:textFill>
                    </w:rPr>
                  </w:pPr>
                </w:p>
              </w:tc>
              <w:tc>
                <w:tcPr>
                  <w:tcW w:w="3335" w:type="pct"/>
                  <w:vAlign w:val="center"/>
                </w:tcPr>
                <w:p w14:paraId="12542958">
                  <w:pPr>
                    <w:pStyle w:val="58"/>
                    <w:spacing w:before="24" w:after="24"/>
                    <w:jc w:val="both"/>
                    <w:rPr>
                      <w:rFonts w:hint="default" w:ascii="Times New Roman" w:hAnsi="Times New Roman" w:eastAsia="宋体" w:cs="Times New Roman"/>
                      <w:color w:val="000000" w:themeColor="text1"/>
                      <w:kern w:val="2"/>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④喷漆及烘干废气设置1套废气处理系统，经负压收集通过“水喷淋+干式过滤+活性炭吸附/脱附+催化燃烧+15m高排气筒（DA00</w:t>
                  </w:r>
                  <w:r>
                    <w:rPr>
                      <w:rFonts w:hint="default" w:ascii="Times New Roman" w:hAnsi="Times New Roman" w:cs="Times New Roman"/>
                      <w:color w:val="000000" w:themeColor="text1"/>
                      <w:kern w:val="2"/>
                      <w:szCs w:val="21"/>
                      <w:highlight w:val="none"/>
                      <w14:textFill>
                        <w14:solidFill>
                          <w14:schemeClr w14:val="tx1"/>
                        </w14:solidFill>
                      </w14:textFill>
                    </w:rPr>
                    <w:t>3</w:t>
                  </w:r>
                  <w:r>
                    <w:rPr>
                      <w:rFonts w:hint="default" w:ascii="Times New Roman" w:hAnsi="Times New Roman" w:cs="Times New Roman"/>
                      <w:color w:val="000000" w:themeColor="text1"/>
                      <w:kern w:val="2"/>
                      <w:szCs w:val="21"/>
                      <w:highlight w:val="none"/>
                      <w14:textFill>
                        <w14:solidFill>
                          <w14:schemeClr w14:val="tx1"/>
                        </w14:solidFill>
                      </w14:textFill>
                    </w:rPr>
                    <w:t>）”外排；</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调漆间及危废暂存间经车间通风无组织排放。</w:t>
                  </w:r>
                </w:p>
              </w:tc>
              <w:tc>
                <w:tcPr>
                  <w:tcW w:w="680" w:type="pct"/>
                  <w:vAlign w:val="center"/>
                </w:tcPr>
                <w:p w14:paraId="41C2C4A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新建</w:t>
                  </w:r>
                </w:p>
              </w:tc>
            </w:tr>
            <w:tr w14:paraId="50CCF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14C6FFF6">
                  <w:pPr>
                    <w:rPr>
                      <w:rFonts w:hint="default" w:ascii="Times New Roman" w:hAnsi="Times New Roman" w:cs="Times New Roman"/>
                      <w:color w:val="000000" w:themeColor="text1"/>
                      <w:highlight w:val="none"/>
                      <w14:textFill>
                        <w14:solidFill>
                          <w14:schemeClr w14:val="tx1"/>
                        </w14:solidFill>
                      </w14:textFill>
                    </w:rPr>
                  </w:pPr>
                </w:p>
              </w:tc>
              <w:tc>
                <w:tcPr>
                  <w:tcW w:w="613" w:type="pct"/>
                  <w:vMerge w:val="continue"/>
                  <w:vAlign w:val="center"/>
                </w:tcPr>
                <w:p w14:paraId="31563B7D">
                  <w:pPr>
                    <w:rPr>
                      <w:rFonts w:hint="default" w:ascii="Times New Roman" w:hAnsi="Times New Roman" w:cs="Times New Roman"/>
                      <w:color w:val="000000" w:themeColor="text1"/>
                      <w:highlight w:val="none"/>
                      <w14:textFill>
                        <w14:solidFill>
                          <w14:schemeClr w14:val="tx1"/>
                        </w14:solidFill>
                      </w14:textFill>
                    </w:rPr>
                  </w:pPr>
                </w:p>
              </w:tc>
              <w:tc>
                <w:tcPr>
                  <w:tcW w:w="3335" w:type="pct"/>
                  <w:vAlign w:val="center"/>
                </w:tcPr>
                <w:p w14:paraId="5434E9F3">
                  <w:pPr>
                    <w:pStyle w:val="58"/>
                    <w:spacing w:before="24" w:after="24"/>
                    <w:jc w:val="both"/>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焊接烟气配套可移动式焊接烟尘净化器进行收集处理后无组织排放；</w:t>
                  </w:r>
                  <w:r>
                    <w:rPr>
                      <w:rFonts w:hint="default" w:ascii="Times New Roman" w:hAnsi="Times New Roman" w:cs="Times New Roman"/>
                      <w:color w:val="000000" w:themeColor="text1"/>
                      <w:kern w:val="2"/>
                      <w:szCs w:val="21"/>
                      <w:highlight w:val="none"/>
                      <w:lang w:val="en-US" w:eastAsia="zh-CN"/>
                      <w14:textFill>
                        <w14:solidFill>
                          <w14:schemeClr w14:val="tx1"/>
                        </w14:solidFill>
                      </w14:textFill>
                    </w:rPr>
                    <w:t>填充工序废气</w:t>
                  </w:r>
                  <w:r>
                    <w:rPr>
                      <w:rFonts w:hint="default" w:ascii="Times New Roman" w:hAnsi="Times New Roman" w:cs="Times New Roman"/>
                      <w:color w:val="000000" w:themeColor="text1"/>
                      <w:kern w:val="2"/>
                      <w:szCs w:val="21"/>
                      <w:highlight w:val="none"/>
                      <w14:textFill>
                        <w14:solidFill>
                          <w14:schemeClr w14:val="tx1"/>
                        </w14:solidFill>
                      </w14:textFill>
                    </w:rPr>
                    <w:t>无组织排放。</w:t>
                  </w:r>
                </w:p>
              </w:tc>
              <w:tc>
                <w:tcPr>
                  <w:tcW w:w="680" w:type="pct"/>
                  <w:vAlign w:val="center"/>
                </w:tcPr>
                <w:p w14:paraId="0CFFEA5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依托</w:t>
                  </w:r>
                </w:p>
              </w:tc>
            </w:tr>
            <w:tr w14:paraId="141B2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61A659A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Merge w:val="restart"/>
                  <w:vAlign w:val="center"/>
                </w:tcPr>
                <w:p w14:paraId="45CB3C6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废水</w:t>
                  </w:r>
                </w:p>
              </w:tc>
              <w:tc>
                <w:tcPr>
                  <w:tcW w:w="3335" w:type="pct"/>
                  <w:vAlign w:val="center"/>
                </w:tcPr>
                <w:p w14:paraId="20DA2819">
                  <w:pPr>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本项目无废水</w:t>
                  </w:r>
                  <w:r>
                    <w:rPr>
                      <w:rFonts w:hint="default" w:ascii="Times New Roman" w:hAnsi="Times New Roman" w:cs="Times New Roman"/>
                      <w:color w:val="000000" w:themeColor="text1"/>
                      <w:highlight w:val="none"/>
                      <w14:textFill>
                        <w14:solidFill>
                          <w14:schemeClr w14:val="tx1"/>
                        </w14:solidFill>
                      </w14:textFill>
                    </w:rPr>
                    <w:t>排放</w:t>
                  </w:r>
                  <w:r>
                    <w:rPr>
                      <w:rFonts w:hint="default" w:ascii="Times New Roman" w:hAnsi="Times New Roman" w:cs="Times New Roman"/>
                      <w:color w:val="000000" w:themeColor="text1"/>
                      <w:highlight w:val="none"/>
                      <w14:textFill>
                        <w14:solidFill>
                          <w14:schemeClr w14:val="tx1"/>
                        </w14:solidFill>
                      </w14:textFill>
                    </w:rPr>
                    <w:t>，环保措施中水喷淋废水经絮凝沉淀处理后循环使用，不外排</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每年更换一次，更换废水属于危废，委托有危废资质单位处置</w:t>
                  </w:r>
                </w:p>
              </w:tc>
              <w:tc>
                <w:tcPr>
                  <w:tcW w:w="680" w:type="pct"/>
                  <w:vAlign w:val="center"/>
                </w:tcPr>
                <w:p w14:paraId="6C40FC4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3F88C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71D95DB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Merge w:val="continue"/>
                  <w:vAlign w:val="center"/>
                </w:tcPr>
                <w:p w14:paraId="3AECECE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3335" w:type="pct"/>
                  <w:vAlign w:val="center"/>
                </w:tcPr>
                <w:p w14:paraId="2E4A29D3">
                  <w:pPr>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湿式填充车间的搅拌机清洗废水、作业区清洗废水经废水收集沉淀池处理后</w:t>
                  </w:r>
                  <w:r>
                    <w:rPr>
                      <w:rFonts w:hint="default" w:ascii="Times New Roman" w:hAnsi="Times New Roman" w:cs="Times New Roman"/>
                      <w:color w:val="000000" w:themeColor="text1"/>
                      <w:szCs w:val="21"/>
                      <w:highlight w:val="none"/>
                      <w:u w:val="single"/>
                      <w14:textFill>
                        <w14:solidFill>
                          <w14:schemeClr w14:val="tx1"/>
                        </w14:solidFill>
                      </w14:textFill>
                    </w:rPr>
                    <w:t>上清液回用</w:t>
                  </w:r>
                  <w:r>
                    <w:rPr>
                      <w:rFonts w:hint="default" w:ascii="Times New Roman" w:hAnsi="Times New Roman" w:cs="Times New Roman"/>
                      <w:color w:val="000000" w:themeColor="text1"/>
                      <w:szCs w:val="21"/>
                      <w:highlight w:val="none"/>
                      <w:u w:val="single"/>
                      <w14:textFill>
                        <w14:solidFill>
                          <w14:schemeClr w14:val="tx1"/>
                        </w14:solidFill>
                      </w14:textFill>
                    </w:rPr>
                    <w:t>于混凝土搅拌工艺用水</w:t>
                  </w:r>
                </w:p>
              </w:tc>
              <w:tc>
                <w:tcPr>
                  <w:tcW w:w="680" w:type="pct"/>
                  <w:vAlign w:val="center"/>
                </w:tcPr>
                <w:p w14:paraId="6E33427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新建</w:t>
                  </w:r>
                </w:p>
              </w:tc>
            </w:tr>
            <w:tr w14:paraId="1BA44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7DE5A85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6E7845B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噪声</w:t>
                  </w:r>
                </w:p>
              </w:tc>
              <w:tc>
                <w:tcPr>
                  <w:tcW w:w="3335" w:type="pct"/>
                  <w:vAlign w:val="center"/>
                </w:tcPr>
                <w:p w14:paraId="17180A40">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选用低噪声级设备并采取基础减振和隔声措施，合理布局</w:t>
                  </w:r>
                </w:p>
              </w:tc>
              <w:tc>
                <w:tcPr>
                  <w:tcW w:w="680" w:type="pct"/>
                  <w:vAlign w:val="center"/>
                </w:tcPr>
                <w:p w14:paraId="104E01B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r w14:paraId="3AD2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371" w:type="pct"/>
                  <w:vMerge w:val="continue"/>
                  <w:vAlign w:val="center"/>
                </w:tcPr>
                <w:p w14:paraId="08928E4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613" w:type="pct"/>
                  <w:vAlign w:val="center"/>
                </w:tcPr>
                <w:p w14:paraId="7969E40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固废</w:t>
                  </w:r>
                </w:p>
              </w:tc>
              <w:tc>
                <w:tcPr>
                  <w:tcW w:w="3335" w:type="pct"/>
                  <w:vAlign w:val="center"/>
                </w:tcPr>
                <w:p w14:paraId="6E5CF7DE">
                  <w:pPr>
                    <w:pStyle w:val="58"/>
                    <w:spacing w:before="24" w:after="24"/>
                    <w:jc w:val="both"/>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厂区</w:t>
                  </w:r>
                  <w:r>
                    <w:rPr>
                      <w:rFonts w:hint="default" w:ascii="Times New Roman" w:hAnsi="Times New Roman" w:cs="Times New Roman"/>
                      <w:color w:val="000000" w:themeColor="text1"/>
                      <w:kern w:val="2"/>
                      <w:highlight w:val="none"/>
                      <w:u w:val="single"/>
                      <w14:textFill>
                        <w14:solidFill>
                          <w14:schemeClr w14:val="tx1"/>
                        </w14:solidFill>
                      </w14:textFill>
                    </w:rPr>
                    <w:t>西北角</w:t>
                  </w:r>
                  <w:r>
                    <w:rPr>
                      <w:rFonts w:hint="default" w:ascii="Times New Roman" w:hAnsi="Times New Roman" w:cs="Times New Roman"/>
                      <w:color w:val="000000" w:themeColor="text1"/>
                      <w:kern w:val="2"/>
                      <w:highlight w:val="none"/>
                      <w:u w:val="single"/>
                      <w14:textFill>
                        <w14:solidFill>
                          <w14:schemeClr w14:val="tx1"/>
                        </w14:solidFill>
                      </w14:textFill>
                    </w:rPr>
                    <w:t>，设有一般固废暂存间20m</w:t>
                  </w:r>
                  <w:r>
                    <w:rPr>
                      <w:rFonts w:hint="default" w:ascii="Times New Roman" w:hAnsi="Times New Roman" w:cs="Times New Roman"/>
                      <w:color w:val="000000" w:themeColor="text1"/>
                      <w:kern w:val="2"/>
                      <w:highlight w:val="none"/>
                      <w:u w:val="single"/>
                      <w:vertAlign w:val="superscript"/>
                      <w14:textFill>
                        <w14:solidFill>
                          <w14:schemeClr w14:val="tx1"/>
                        </w14:solidFill>
                      </w14:textFill>
                    </w:rPr>
                    <w:t>2</w:t>
                  </w:r>
                  <w:r>
                    <w:rPr>
                      <w:rFonts w:hint="default" w:ascii="Times New Roman" w:hAnsi="Times New Roman" w:cs="Times New Roman"/>
                      <w:color w:val="000000" w:themeColor="text1"/>
                      <w:kern w:val="2"/>
                      <w:highlight w:val="none"/>
                      <w:u w:val="single"/>
                      <w14:textFill>
                        <w14:solidFill>
                          <w14:schemeClr w14:val="tx1"/>
                        </w14:solidFill>
                      </w14:textFill>
                    </w:rPr>
                    <w:t>，危废暂存间30m</w:t>
                  </w:r>
                  <w:r>
                    <w:rPr>
                      <w:rFonts w:hint="default" w:ascii="Times New Roman" w:hAnsi="Times New Roman" w:cs="Times New Roman"/>
                      <w:color w:val="000000" w:themeColor="text1"/>
                      <w:kern w:val="2"/>
                      <w:highlight w:val="none"/>
                      <w:u w:val="single"/>
                      <w:vertAlign w:val="superscript"/>
                      <w14:textFill>
                        <w14:solidFill>
                          <w14:schemeClr w14:val="tx1"/>
                        </w14:solidFill>
                      </w14:textFill>
                    </w:rPr>
                    <w:t>2</w:t>
                  </w:r>
                  <w:r>
                    <w:rPr>
                      <w:rFonts w:hint="default" w:ascii="Times New Roman" w:hAnsi="Times New Roman" w:cs="Times New Roman"/>
                      <w:color w:val="000000" w:themeColor="text1"/>
                      <w:kern w:val="2"/>
                      <w:highlight w:val="none"/>
                      <w:u w:val="single"/>
                      <w14:textFill>
                        <w14:solidFill>
                          <w14:schemeClr w14:val="tx1"/>
                        </w14:solidFill>
                      </w14:textFill>
                    </w:rPr>
                    <w:t>：</w:t>
                  </w:r>
                </w:p>
                <w:p w14:paraId="7F9DE313">
                  <w:pPr>
                    <w:adjustRightInd w:val="0"/>
                    <w:snapToGrid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①一般固废：</w:t>
                  </w:r>
                  <w:r>
                    <w:rPr>
                      <w:rFonts w:hint="default" w:ascii="Times New Roman" w:hAnsi="Times New Roman" w:cs="Times New Roman"/>
                      <w:color w:val="000000" w:themeColor="text1"/>
                      <w:szCs w:val="21"/>
                      <w:highlight w:val="none"/>
                      <w14:textFill>
                        <w14:solidFill>
                          <w14:schemeClr w14:val="tx1"/>
                        </w14:solidFill>
                      </w14:textFill>
                    </w:rPr>
                    <w:t>金属碎屑、焊渣及抛丸粉尘外售给综合利用、腻子打磨粉尘及废砂纸交由环卫部门处理；废包材外售物资回收公司</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废水收集池沉渣回用于湿式填充工序。</w:t>
                  </w:r>
                </w:p>
                <w:p w14:paraId="671D519A">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lang w:eastAsia="ja-JP"/>
                      <w14:textFill>
                        <w14:solidFill>
                          <w14:schemeClr w14:val="tx1"/>
                        </w14:solidFill>
                      </w14:textFill>
                    </w:rPr>
                    <w:t>②</w:t>
                  </w:r>
                  <w:r>
                    <w:rPr>
                      <w:rFonts w:hint="default" w:ascii="Times New Roman" w:hAnsi="Times New Roman" w:cs="Times New Roman"/>
                      <w:color w:val="000000" w:themeColor="text1"/>
                      <w:highlight w:val="none"/>
                      <w14:textFill>
                        <w14:solidFill>
                          <w14:schemeClr w14:val="tx1"/>
                        </w14:solidFill>
                      </w14:textFill>
                    </w:rPr>
                    <w:t>危险固废：</w:t>
                  </w:r>
                  <w:r>
                    <w:rPr>
                      <w:rFonts w:hint="default" w:ascii="Times New Roman" w:hAnsi="Times New Roman" w:cs="Times New Roman"/>
                      <w:color w:val="000000" w:themeColor="text1"/>
                      <w:szCs w:val="21"/>
                      <w:highlight w:val="none"/>
                      <w14:textFill>
                        <w14:solidFill>
                          <w14:schemeClr w14:val="tx1"/>
                        </w14:solidFill>
                      </w14:textFill>
                    </w:rPr>
                    <w:t>漆渣、废油漆桶、废稀释剂桶、废固化剂桶、废机油、废润滑油及油桶、漆雾吸收废水、含油废劳保用品、废清洗剂等，均定期委托有危废资质单位进行处置；</w:t>
                  </w:r>
                </w:p>
                <w:p w14:paraId="6AD06AF7">
                  <w:pPr>
                    <w:adjustRightInd w:val="0"/>
                    <w:snapToGrid w:val="0"/>
                    <w:rPr>
                      <w:rFonts w:hint="default" w:ascii="Times New Roman" w:hAnsi="Times New Roman" w:eastAsia="MS Mincho" w:cs="Times New Roman"/>
                      <w:color w:val="000000" w:themeColor="text1"/>
                      <w:highlight w:val="none"/>
                      <w:lang w:eastAsia="ja-JP"/>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③生活垃圾：交由环卫部门定期清运处理</w:t>
                  </w:r>
                </w:p>
              </w:tc>
              <w:tc>
                <w:tcPr>
                  <w:tcW w:w="680" w:type="pct"/>
                  <w:vAlign w:val="center"/>
                </w:tcPr>
                <w:p w14:paraId="58A486C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依托</w:t>
                  </w:r>
                </w:p>
              </w:tc>
            </w:tr>
          </w:tbl>
          <w:p w14:paraId="3B407511">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（2）主要设施依托性分析</w:t>
            </w:r>
          </w:p>
          <w:p w14:paraId="32D7D74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本项目厂房、供水、供电、排水均依托湖南衡东经济开发区大浦工业园现有设施，现有依托设施均能满足本项目生产要求。项目主要依托设施情况见表2-2。</w:t>
            </w:r>
          </w:p>
          <w:p w14:paraId="1D6AB149">
            <w:pPr>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表2-2  项目主要依托设施可行性分析一览表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103"/>
              <w:gridCol w:w="4237"/>
              <w:gridCol w:w="1507"/>
              <w:gridCol w:w="1064"/>
            </w:tblGrid>
            <w:tr w14:paraId="39148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46" w:type="dxa"/>
                  <w:vAlign w:val="center"/>
                </w:tcPr>
                <w:p w14:paraId="212005FA">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序号</w:t>
                  </w:r>
                </w:p>
              </w:tc>
              <w:tc>
                <w:tcPr>
                  <w:tcW w:w="1104" w:type="dxa"/>
                  <w:vAlign w:val="center"/>
                </w:tcPr>
                <w:p w14:paraId="6492141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设施名称</w:t>
                  </w:r>
                </w:p>
              </w:tc>
              <w:tc>
                <w:tcPr>
                  <w:tcW w:w="4243" w:type="dxa"/>
                  <w:vAlign w:val="center"/>
                </w:tcPr>
                <w:p w14:paraId="5319D97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规模</w:t>
                  </w:r>
                </w:p>
              </w:tc>
              <w:tc>
                <w:tcPr>
                  <w:tcW w:w="1509" w:type="dxa"/>
                  <w:vAlign w:val="center"/>
                </w:tcPr>
                <w:p w14:paraId="21B8E15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是否满足要求</w:t>
                  </w:r>
                </w:p>
              </w:tc>
              <w:tc>
                <w:tcPr>
                  <w:tcW w:w="1065" w:type="dxa"/>
                  <w:vAlign w:val="center"/>
                </w:tcPr>
                <w:p w14:paraId="4CAA373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是否可行</w:t>
                  </w:r>
                </w:p>
              </w:tc>
            </w:tr>
            <w:tr w14:paraId="66909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dxa"/>
                  <w:vAlign w:val="center"/>
                </w:tcPr>
                <w:p w14:paraId="62EDEC6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1</w:t>
                  </w:r>
                </w:p>
              </w:tc>
              <w:tc>
                <w:tcPr>
                  <w:tcW w:w="1104" w:type="dxa"/>
                  <w:vAlign w:val="center"/>
                </w:tcPr>
                <w:p w14:paraId="5C92C5C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厂房</w:t>
                  </w:r>
                </w:p>
              </w:tc>
              <w:tc>
                <w:tcPr>
                  <w:tcW w:w="4243" w:type="dxa"/>
                  <w:vAlign w:val="center"/>
                </w:tcPr>
                <w:p w14:paraId="05BAD43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本项目不新建厂房，在朝阳机电股份有限公司已建厂房进行生产。</w:t>
                  </w:r>
                </w:p>
              </w:tc>
              <w:tc>
                <w:tcPr>
                  <w:tcW w:w="1509" w:type="dxa"/>
                  <w:vAlign w:val="center"/>
                </w:tcPr>
                <w:p w14:paraId="6B6B0E4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w:t>
                  </w:r>
                </w:p>
              </w:tc>
              <w:tc>
                <w:tcPr>
                  <w:tcW w:w="1065" w:type="dxa"/>
                  <w:vAlign w:val="center"/>
                </w:tcPr>
                <w:p w14:paraId="05108A2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可行</w:t>
                  </w:r>
                </w:p>
              </w:tc>
            </w:tr>
            <w:tr w14:paraId="1D210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646" w:type="dxa"/>
                  <w:vAlign w:val="center"/>
                </w:tcPr>
                <w:p w14:paraId="53DBCD3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2</w:t>
                  </w:r>
                </w:p>
              </w:tc>
              <w:tc>
                <w:tcPr>
                  <w:tcW w:w="1104" w:type="dxa"/>
                  <w:vAlign w:val="center"/>
                </w:tcPr>
                <w:p w14:paraId="325CD2C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废气处理设施</w:t>
                  </w:r>
                </w:p>
              </w:tc>
              <w:tc>
                <w:tcPr>
                  <w:tcW w:w="4243" w:type="dxa"/>
                  <w:vAlign w:val="center"/>
                </w:tcPr>
                <w:p w14:paraId="2E0E2828">
                  <w:pPr>
                    <w:pStyle w:val="58"/>
                    <w:spacing w:before="24" w:after="24"/>
                    <w:jc w:val="left"/>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①等离子切割下料粉尘经集气罩+布袋除尘+15m高排气筒（D001）；</w:t>
                  </w:r>
                </w:p>
                <w:p w14:paraId="70274B8A">
                  <w:pPr>
                    <w:pStyle w:val="58"/>
                    <w:spacing w:before="24" w:after="24"/>
                    <w:jc w:val="left"/>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②抛丸粉尘通过密闭收集+布袋除尘+15m高排气筒外排（DA002）；</w:t>
                  </w:r>
                </w:p>
                <w:p w14:paraId="2E89D223">
                  <w:pPr>
                    <w:pStyle w:val="58"/>
                    <w:spacing w:before="24" w:after="24"/>
                    <w:jc w:val="left"/>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③腻子打磨区粉尘设置密闭负压收集+布袋除尘</w:t>
                  </w:r>
                </w:p>
                <w:p w14:paraId="784F5CDB">
                  <w:pPr>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④</w:t>
                  </w:r>
                  <w:r>
                    <w:rPr>
                      <w:rFonts w:hint="default" w:ascii="Times New Roman" w:hAnsi="Times New Roman" w:cs="Times New Roman"/>
                      <w:color w:val="000000" w:themeColor="text1"/>
                      <w:highlight w:val="none"/>
                      <w14:textFill>
                        <w14:solidFill>
                          <w14:schemeClr w14:val="tx1"/>
                        </w14:solidFill>
                      </w14:textFill>
                    </w:rPr>
                    <w:t>焊接烟气配套可移动式焊接烟尘净化器进行收集处理后无组织排放。</w:t>
                  </w:r>
                </w:p>
              </w:tc>
              <w:tc>
                <w:tcPr>
                  <w:tcW w:w="1509" w:type="dxa"/>
                  <w:vAlign w:val="center"/>
                </w:tcPr>
                <w:p w14:paraId="17AA3D17">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w:t>
                  </w:r>
                </w:p>
              </w:tc>
              <w:tc>
                <w:tcPr>
                  <w:tcW w:w="1065" w:type="dxa"/>
                  <w:vAlign w:val="center"/>
                </w:tcPr>
                <w:p w14:paraId="78F654D3">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可行</w:t>
                  </w:r>
                </w:p>
              </w:tc>
            </w:tr>
            <w:tr w14:paraId="55AAE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dxa"/>
                  <w:vAlign w:val="center"/>
                </w:tcPr>
                <w:p w14:paraId="1757CA8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3</w:t>
                  </w:r>
                </w:p>
              </w:tc>
              <w:tc>
                <w:tcPr>
                  <w:tcW w:w="1104" w:type="dxa"/>
                  <w:vAlign w:val="center"/>
                </w:tcPr>
                <w:p w14:paraId="1E00FDBA">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给水</w:t>
                  </w:r>
                </w:p>
              </w:tc>
              <w:tc>
                <w:tcPr>
                  <w:tcW w:w="4243" w:type="dxa"/>
                  <w:vAlign w:val="center"/>
                </w:tcPr>
                <w:p w14:paraId="27127EE5">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大浦工业园供水管网已建设完成，现有厂区已铺设供水支管。</w:t>
                  </w:r>
                </w:p>
              </w:tc>
              <w:tc>
                <w:tcPr>
                  <w:tcW w:w="1509" w:type="dxa"/>
                  <w:vAlign w:val="center"/>
                </w:tcPr>
                <w:p w14:paraId="0B9AE51F">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w:t>
                  </w:r>
                </w:p>
              </w:tc>
              <w:tc>
                <w:tcPr>
                  <w:tcW w:w="1065" w:type="dxa"/>
                  <w:vAlign w:val="center"/>
                </w:tcPr>
                <w:p w14:paraId="50548624">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可行</w:t>
                  </w:r>
                </w:p>
              </w:tc>
            </w:tr>
            <w:tr w14:paraId="17F0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dxa"/>
                  <w:vAlign w:val="center"/>
                </w:tcPr>
                <w:p w14:paraId="19B46085">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4</w:t>
                  </w:r>
                </w:p>
              </w:tc>
              <w:tc>
                <w:tcPr>
                  <w:tcW w:w="1104" w:type="dxa"/>
                  <w:vAlign w:val="center"/>
                </w:tcPr>
                <w:p w14:paraId="37E78A8F">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供电</w:t>
                  </w:r>
                </w:p>
              </w:tc>
              <w:tc>
                <w:tcPr>
                  <w:tcW w:w="4243" w:type="dxa"/>
                  <w:vAlign w:val="center"/>
                </w:tcPr>
                <w:p w14:paraId="48BB6B49">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园区供电系统统一供应，现有厂区已铺设电网。</w:t>
                  </w:r>
                </w:p>
              </w:tc>
              <w:tc>
                <w:tcPr>
                  <w:tcW w:w="1509" w:type="dxa"/>
                  <w:vAlign w:val="center"/>
                </w:tcPr>
                <w:p w14:paraId="590FB978">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w:t>
                  </w:r>
                </w:p>
              </w:tc>
              <w:tc>
                <w:tcPr>
                  <w:tcW w:w="1065" w:type="dxa"/>
                  <w:vAlign w:val="center"/>
                </w:tcPr>
                <w:p w14:paraId="4B4B044A">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可行</w:t>
                  </w:r>
                </w:p>
              </w:tc>
            </w:tr>
            <w:tr w14:paraId="29638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6" w:type="dxa"/>
                  <w:vAlign w:val="center"/>
                </w:tcPr>
                <w:p w14:paraId="7BB6C5F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5</w:t>
                  </w:r>
                </w:p>
              </w:tc>
              <w:tc>
                <w:tcPr>
                  <w:tcW w:w="1104" w:type="dxa"/>
                  <w:vAlign w:val="center"/>
                </w:tcPr>
                <w:p w14:paraId="2DD67725">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雨污管网</w:t>
                  </w:r>
                </w:p>
              </w:tc>
              <w:tc>
                <w:tcPr>
                  <w:tcW w:w="4243" w:type="dxa"/>
                  <w:vAlign w:val="center"/>
                </w:tcPr>
                <w:p w14:paraId="17A58037">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园区雨污管网已建设完成，现有厂区周围已设有雨水沟接入园区雨水管网，现有厂区周边已铺设好污水管网，项目从厂区西侧接入园区污水管网。</w:t>
                  </w:r>
                </w:p>
              </w:tc>
              <w:tc>
                <w:tcPr>
                  <w:tcW w:w="1509" w:type="dxa"/>
                  <w:vAlign w:val="center"/>
                </w:tcPr>
                <w:p w14:paraId="4334732E">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是</w:t>
                  </w:r>
                </w:p>
              </w:tc>
              <w:tc>
                <w:tcPr>
                  <w:tcW w:w="1065" w:type="dxa"/>
                  <w:vAlign w:val="center"/>
                </w:tcPr>
                <w:p w14:paraId="4E338433">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可行</w:t>
                  </w:r>
                </w:p>
              </w:tc>
            </w:tr>
          </w:tbl>
          <w:p w14:paraId="6A210F8C">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3、产品方案</w:t>
            </w:r>
          </w:p>
          <w:p w14:paraId="115E5BB5">
            <w:pPr>
              <w:pStyle w:val="63"/>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本次</w:t>
            </w:r>
            <w:r>
              <w:rPr>
                <w:rFonts w:hint="default" w:ascii="Times New Roman" w:hAnsi="Times New Roman" w:cs="Times New Roman"/>
                <w:color w:val="000000" w:themeColor="text1"/>
                <w:szCs w:val="24"/>
                <w:highlight w:val="none"/>
                <w:u w:val="single"/>
                <w14:textFill>
                  <w14:solidFill>
                    <w14:schemeClr w14:val="tx1"/>
                  </w14:solidFill>
                </w14:textFill>
              </w:rPr>
              <w:t>对现有废气处理设施进行优化升级，</w:t>
            </w:r>
            <w:r>
              <w:rPr>
                <w:rFonts w:hint="default" w:ascii="Times New Roman" w:hAnsi="Times New Roman" w:cs="Times New Roman"/>
                <w:color w:val="000000" w:themeColor="text1"/>
                <w:szCs w:val="24"/>
                <w:highlight w:val="none"/>
                <w:u w:val="single" w:color="auto"/>
                <w:lang w:val="en-US" w:eastAsia="zh-CN"/>
                <w14:textFill>
                  <w14:solidFill>
                    <w14:schemeClr w14:val="tx1"/>
                  </w14:solidFill>
                </w14:textFill>
              </w:rPr>
              <w:t>将原有喷漆废气治理设施从“</w:t>
            </w:r>
            <w:r>
              <w:rPr>
                <w:rFonts w:hint="default" w:ascii="Times New Roman" w:hAnsi="Times New Roman" w:cs="Times New Roman"/>
                <w:color w:val="000000" w:themeColor="text1"/>
                <w:sz w:val="24"/>
                <w:szCs w:val="24"/>
                <w:highlight w:val="none"/>
                <w:u w:val="single" w:color="auto"/>
                <w:lang w:val="en-US" w:eastAsia="zh-CN"/>
                <w14:textFill>
                  <w14:solidFill>
                    <w14:schemeClr w14:val="tx1"/>
                  </w14:solidFill>
                </w14:textFill>
              </w:rPr>
              <w:t>负压收集+干式过滤(三级)+UV 光解+活性炭吸附</w:t>
            </w:r>
            <w:r>
              <w:rPr>
                <w:rFonts w:hint="default" w:ascii="Times New Roman" w:hAnsi="Times New Roman" w:cs="Times New Roman"/>
                <w:color w:val="000000" w:themeColor="text1"/>
                <w:szCs w:val="24"/>
                <w:highlight w:val="none"/>
                <w:u w:val="single" w:color="auto"/>
                <w:lang w:val="en-US" w:eastAsia="zh-CN"/>
                <w14:textFill>
                  <w14:solidFill>
                    <w14:schemeClr w14:val="tx1"/>
                  </w14:solidFill>
                </w14:textFill>
              </w:rPr>
              <w:t>”升级“</w:t>
            </w:r>
            <w:r>
              <w:rPr>
                <w:rFonts w:hint="default" w:ascii="Times New Roman" w:hAnsi="Times New Roman" w:cs="Times New Roman"/>
                <w:color w:val="000000" w:themeColor="text1"/>
                <w:kern w:val="2"/>
                <w:sz w:val="24"/>
                <w:szCs w:val="24"/>
                <w:highlight w:val="none"/>
                <w:u w:val="single" w:color="auto"/>
                <w14:textFill>
                  <w14:solidFill>
                    <w14:schemeClr w14:val="tx1"/>
                  </w14:solidFill>
                </w14:textFill>
              </w:rPr>
              <w:t>负压收集</w:t>
            </w:r>
            <w:r>
              <w:rPr>
                <w:rFonts w:hint="default" w:ascii="Times New Roman" w:hAnsi="Times New Roman" w:cs="Times New Roman"/>
                <w:color w:val="000000" w:themeColor="text1"/>
                <w:kern w:val="2"/>
                <w:sz w:val="24"/>
                <w:szCs w:val="24"/>
                <w:highlight w:val="none"/>
                <w:u w:val="single" w:color="auto"/>
                <w:lang w:eastAsia="zh-CN"/>
                <w14:textFill>
                  <w14:solidFill>
                    <w14:schemeClr w14:val="tx1"/>
                  </w14:solidFill>
                </w14:textFill>
              </w:rPr>
              <w:t>通过</w:t>
            </w:r>
            <w:r>
              <w:rPr>
                <w:rFonts w:hint="default" w:ascii="Times New Roman" w:hAnsi="Times New Roman" w:cs="Times New Roman"/>
                <w:color w:val="000000" w:themeColor="text1"/>
                <w:kern w:val="2"/>
                <w:sz w:val="24"/>
                <w:szCs w:val="24"/>
                <w:highlight w:val="none"/>
                <w:u w:val="single" w:color="auto"/>
                <w14:textFill>
                  <w14:solidFill>
                    <w14:schemeClr w14:val="tx1"/>
                  </w14:solidFill>
                </w14:textFill>
              </w:rPr>
              <w:t>“</w:t>
            </w:r>
            <w:r>
              <w:rPr>
                <w:rFonts w:hint="default" w:ascii="Times New Roman" w:hAnsi="Times New Roman" w:cs="Times New Roman"/>
                <w:color w:val="000000" w:themeColor="text1"/>
                <w:kern w:val="2"/>
                <w:sz w:val="24"/>
                <w:szCs w:val="24"/>
                <w:highlight w:val="none"/>
                <w:u w:val="single" w:color="auto"/>
                <w:lang w:eastAsia="zh-CN"/>
                <w14:textFill>
                  <w14:solidFill>
                    <w14:schemeClr w14:val="tx1"/>
                  </w14:solidFill>
                </w14:textFill>
              </w:rPr>
              <w:t>水喷淋</w:t>
            </w:r>
            <w:r>
              <w:rPr>
                <w:rFonts w:hint="default" w:ascii="Times New Roman" w:hAnsi="Times New Roman" w:cs="Times New Roman"/>
                <w:color w:val="000000" w:themeColor="text1"/>
                <w:kern w:val="2"/>
                <w:sz w:val="24"/>
                <w:szCs w:val="24"/>
                <w:highlight w:val="none"/>
                <w:u w:val="single" w:color="auto"/>
                <w14:textFill>
                  <w14:solidFill>
                    <w14:schemeClr w14:val="tx1"/>
                  </w14:solidFill>
                </w14:textFill>
              </w:rPr>
              <w:t>+干式过滤+活性炭吸附/脱附+催化燃烧</w:t>
            </w:r>
            <w:r>
              <w:rPr>
                <w:rFonts w:hint="default" w:ascii="Times New Roman" w:hAnsi="Times New Roman" w:cs="Times New Roman"/>
                <w:color w:val="000000" w:themeColor="text1"/>
                <w:szCs w:val="24"/>
                <w:highlight w:val="none"/>
                <w:u w:val="single" w:color="auto"/>
                <w:lang w:val="en-US" w:eastAsia="zh-CN"/>
                <w14:textFill>
                  <w14:solidFill>
                    <w14:schemeClr w14:val="tx1"/>
                  </w14:solidFill>
                </w14:textFill>
              </w:rPr>
              <w:t>”</w:t>
            </w:r>
            <w:r>
              <w:rPr>
                <w:rFonts w:hint="default" w:ascii="Times New Roman" w:hAnsi="Times New Roman" w:cs="Times New Roman"/>
                <w:color w:val="000000" w:themeColor="text1"/>
                <w:szCs w:val="24"/>
                <w:highlight w:val="none"/>
                <w:u w:val="single"/>
                <w:lang w:val="en-US" w:eastAsia="zh-CN"/>
                <w14:textFill>
                  <w14:solidFill>
                    <w14:schemeClr w14:val="tx1"/>
                  </w14:solidFill>
                </w14:textFill>
              </w:rPr>
              <w:t>，</w:t>
            </w:r>
            <w:r>
              <w:rPr>
                <w:rFonts w:hint="default" w:ascii="Times New Roman" w:hAnsi="Times New Roman" w:cs="Times New Roman"/>
                <w:color w:val="000000" w:themeColor="text1"/>
                <w:szCs w:val="24"/>
                <w:highlight w:val="none"/>
                <w:u w:val="single"/>
                <w14:textFill>
                  <w14:solidFill>
                    <w14:schemeClr w14:val="tx1"/>
                  </w14:solidFill>
                </w14:textFill>
              </w:rPr>
              <w:t>原有产品方案不发生变化，改扩后</w:t>
            </w:r>
            <w:r>
              <w:rPr>
                <w:rFonts w:hint="default" w:ascii="Times New Roman" w:hAnsi="Times New Roman" w:cs="Times New Roman"/>
                <w:color w:val="000000" w:themeColor="text1"/>
                <w:szCs w:val="24"/>
                <w:highlight w:val="none"/>
                <w14:textFill>
                  <w14:solidFill>
                    <w14:schemeClr w14:val="tx1"/>
                  </w14:solidFill>
                </w14:textFill>
              </w:rPr>
              <w:t>产品方案见下表。</w:t>
            </w:r>
          </w:p>
          <w:p w14:paraId="6BF0ED2B">
            <w:pPr>
              <w:widowControl/>
              <w:ind w:firstLine="198"/>
              <w:jc w:val="center"/>
              <w:textAlignment w:val="baseline"/>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表2-3 产品方案表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7"/>
              <w:gridCol w:w="1754"/>
              <w:gridCol w:w="4565"/>
            </w:tblGrid>
            <w:tr w14:paraId="5F9D9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1307" w:type="pct"/>
                  <w:shd w:val="clear" w:color="auto" w:fill="auto"/>
                  <w:vAlign w:val="center"/>
                </w:tcPr>
                <w:p w14:paraId="14C7703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产品名称</w:t>
                  </w:r>
                </w:p>
              </w:tc>
              <w:tc>
                <w:tcPr>
                  <w:tcW w:w="1025" w:type="pct"/>
                  <w:shd w:val="clear" w:color="auto" w:fill="auto"/>
                  <w:vAlign w:val="center"/>
                </w:tcPr>
                <w:p w14:paraId="4229203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产能(吨/年)</w:t>
                  </w:r>
                </w:p>
              </w:tc>
              <w:tc>
                <w:tcPr>
                  <w:tcW w:w="2667" w:type="pct"/>
                  <w:shd w:val="clear" w:color="auto" w:fill="auto"/>
                  <w:vAlign w:val="center"/>
                </w:tcPr>
                <w:p w14:paraId="3EC67C5B">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备注</w:t>
                  </w:r>
                </w:p>
              </w:tc>
            </w:tr>
            <w:tr w14:paraId="3FE8E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vAlign w:val="center"/>
                </w:tcPr>
                <w:p w14:paraId="3AECE1F7">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圆锥破碎机系列</w:t>
                  </w:r>
                </w:p>
              </w:tc>
              <w:tc>
                <w:tcPr>
                  <w:tcW w:w="1025" w:type="pct"/>
                  <w:vAlign w:val="center"/>
                </w:tcPr>
                <w:p w14:paraId="2CA5A68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w:t>
                  </w:r>
                </w:p>
              </w:tc>
              <w:tc>
                <w:tcPr>
                  <w:tcW w:w="2667" w:type="pct"/>
                  <w:vAlign w:val="center"/>
                </w:tcPr>
                <w:p w14:paraId="69F3900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原有工程产品</w:t>
                  </w:r>
                </w:p>
              </w:tc>
            </w:tr>
            <w:tr w14:paraId="2867D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vAlign w:val="center"/>
                </w:tcPr>
                <w:p w14:paraId="643370E4">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颚式破碎机系列</w:t>
                  </w:r>
                </w:p>
              </w:tc>
              <w:tc>
                <w:tcPr>
                  <w:tcW w:w="1025" w:type="pct"/>
                  <w:vAlign w:val="center"/>
                </w:tcPr>
                <w:p w14:paraId="247ED8E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w:t>
                  </w:r>
                </w:p>
              </w:tc>
              <w:tc>
                <w:tcPr>
                  <w:tcW w:w="2667" w:type="pct"/>
                  <w:vAlign w:val="center"/>
                </w:tcPr>
                <w:p w14:paraId="3155173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原有工程产品</w:t>
                  </w:r>
                </w:p>
              </w:tc>
            </w:tr>
            <w:tr w14:paraId="030FE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vAlign w:val="center"/>
                </w:tcPr>
                <w:p w14:paraId="3304FD14">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高效制砂机系列</w:t>
                  </w:r>
                </w:p>
              </w:tc>
              <w:tc>
                <w:tcPr>
                  <w:tcW w:w="1025" w:type="pct"/>
                  <w:vAlign w:val="center"/>
                </w:tcPr>
                <w:p w14:paraId="616DC9E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25</w:t>
                  </w:r>
                </w:p>
              </w:tc>
              <w:tc>
                <w:tcPr>
                  <w:tcW w:w="2667" w:type="pct"/>
                  <w:vAlign w:val="center"/>
                </w:tcPr>
                <w:p w14:paraId="4BE74A0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原有工程产品</w:t>
                  </w:r>
                </w:p>
              </w:tc>
            </w:tr>
            <w:tr w14:paraId="3D287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vAlign w:val="center"/>
                </w:tcPr>
                <w:p w14:paraId="1438B338">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重锤反击破碎机系列</w:t>
                  </w:r>
                </w:p>
              </w:tc>
              <w:tc>
                <w:tcPr>
                  <w:tcW w:w="1025" w:type="pct"/>
                  <w:vAlign w:val="center"/>
                </w:tcPr>
                <w:p w14:paraId="5E40221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w:t>
                  </w:r>
                </w:p>
              </w:tc>
              <w:tc>
                <w:tcPr>
                  <w:tcW w:w="2667" w:type="pct"/>
                  <w:vAlign w:val="center"/>
                </w:tcPr>
                <w:p w14:paraId="5D69C14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原有工程产品</w:t>
                  </w:r>
                </w:p>
              </w:tc>
            </w:tr>
            <w:tr w14:paraId="4E6D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vAlign w:val="center"/>
                </w:tcPr>
                <w:p w14:paraId="5426AB0E">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洗沙机产品系列</w:t>
                  </w:r>
                </w:p>
              </w:tc>
              <w:tc>
                <w:tcPr>
                  <w:tcW w:w="1025" w:type="pct"/>
                  <w:vAlign w:val="center"/>
                </w:tcPr>
                <w:p w14:paraId="6A7D28A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8</w:t>
                  </w:r>
                </w:p>
              </w:tc>
              <w:tc>
                <w:tcPr>
                  <w:tcW w:w="2667" w:type="pct"/>
                  <w:vAlign w:val="center"/>
                </w:tcPr>
                <w:p w14:paraId="5E8C7B9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原有工程产品</w:t>
                  </w:r>
                </w:p>
              </w:tc>
            </w:tr>
            <w:tr w14:paraId="0A4AC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307" w:type="pct"/>
                  <w:shd w:val="clear" w:color="auto" w:fill="auto"/>
                  <w:vAlign w:val="center"/>
                </w:tcPr>
                <w:p w14:paraId="6A49AAA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工程机械结构件</w:t>
                  </w:r>
                </w:p>
              </w:tc>
              <w:tc>
                <w:tcPr>
                  <w:tcW w:w="1025" w:type="pct"/>
                  <w:shd w:val="clear" w:color="auto" w:fill="auto"/>
                  <w:vAlign w:val="center"/>
                </w:tcPr>
                <w:p w14:paraId="272534F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7000</w:t>
                  </w:r>
                </w:p>
              </w:tc>
              <w:tc>
                <w:tcPr>
                  <w:tcW w:w="2667" w:type="pct"/>
                  <w:shd w:val="clear" w:color="auto" w:fill="auto"/>
                  <w:vAlign w:val="center"/>
                </w:tcPr>
                <w:p w14:paraId="596ECA1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改扩建产品。</w:t>
                  </w:r>
                  <w:r>
                    <w:rPr>
                      <w:rFonts w:hint="default" w:ascii="Times New Roman" w:hAnsi="Times New Roman" w:cs="Times New Roman"/>
                      <w:color w:val="000000" w:themeColor="text1"/>
                      <w:szCs w:val="21"/>
                      <w:highlight w:val="none"/>
                      <w14:textFill>
                        <w14:solidFill>
                          <w14:schemeClr w14:val="tx1"/>
                        </w14:solidFill>
                      </w14:textFill>
                    </w:rPr>
                    <w:t>喷涂油性漆（喷涂油性漆结构件产品用途：主要用于室外，根据客户要求为了提高工件耐腐蚀和风化性能，所以需喷涂油性漆）</w:t>
                  </w:r>
                </w:p>
              </w:tc>
            </w:tr>
          </w:tbl>
          <w:p w14:paraId="71C8748B">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4、项目主要原辅材料用量及能耗</w:t>
            </w:r>
          </w:p>
          <w:p w14:paraId="322BFF38">
            <w:pPr>
              <w:pStyle w:val="63"/>
              <w:tabs>
                <w:tab w:val="left" w:pos="3226"/>
              </w:tabs>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（1）项目主要原辅材料用量及能耗情况</w:t>
            </w:r>
          </w:p>
          <w:p w14:paraId="5CEAD199">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本次</w:t>
            </w:r>
            <w:r>
              <w:rPr>
                <w:rFonts w:hint="default" w:ascii="Times New Roman" w:hAnsi="Times New Roman" w:cs="Times New Roman"/>
                <w:color w:val="000000" w:themeColor="text1"/>
                <w:sz w:val="24"/>
                <w:highlight w:val="none"/>
                <w:u w:val="single"/>
                <w14:textFill>
                  <w14:solidFill>
                    <w14:schemeClr w14:val="tx1"/>
                  </w14:solidFill>
                </w14:textFill>
              </w:rPr>
              <w:t>对现有废气处理设施进行优化升级，原有项目原辅材料不发生变化，</w:t>
            </w:r>
            <w:r>
              <w:rPr>
                <w:rFonts w:hint="default" w:ascii="Times New Roman" w:hAnsi="Times New Roman" w:cs="Times New Roman"/>
                <w:color w:val="000000" w:themeColor="text1"/>
                <w:sz w:val="24"/>
                <w:highlight w:val="none"/>
                <w14:textFill>
                  <w14:solidFill>
                    <w14:schemeClr w14:val="tx1"/>
                  </w14:solidFill>
                </w14:textFill>
              </w:rPr>
              <w:t>改扩</w:t>
            </w:r>
            <w:r>
              <w:rPr>
                <w:rFonts w:hint="default" w:ascii="Times New Roman" w:hAnsi="Times New Roman" w:cs="Times New Roman"/>
                <w:color w:val="000000" w:themeColor="text1"/>
                <w:sz w:val="24"/>
                <w:highlight w:val="none"/>
                <w14:textFill>
                  <w14:solidFill>
                    <w14:schemeClr w14:val="tx1"/>
                  </w14:solidFill>
                </w14:textFill>
              </w:rPr>
              <w:t>后</w:t>
            </w:r>
            <w:r>
              <w:rPr>
                <w:rFonts w:hint="default" w:ascii="Times New Roman" w:hAnsi="Times New Roman" w:cs="Times New Roman"/>
                <w:color w:val="000000" w:themeColor="text1"/>
                <w:sz w:val="24"/>
                <w:highlight w:val="none"/>
                <w14:textFill>
                  <w14:solidFill>
                    <w14:schemeClr w14:val="tx1"/>
                  </w14:solidFill>
                </w14:textFill>
              </w:rPr>
              <w:t>项目主要的原辅材料和能源消耗详见表2-4。</w:t>
            </w:r>
          </w:p>
          <w:p w14:paraId="3777B4A6">
            <w:pPr>
              <w:spacing w:line="360" w:lineRule="auto"/>
              <w:ind w:firstLine="482"/>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表2-4  主要原辅材料一览表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2299"/>
              <w:gridCol w:w="1180"/>
              <w:gridCol w:w="853"/>
              <w:gridCol w:w="1568"/>
              <w:gridCol w:w="823"/>
              <w:gridCol w:w="884"/>
            </w:tblGrid>
            <w:tr w14:paraId="7C95D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blHeader/>
              </w:trPr>
              <w:tc>
                <w:tcPr>
                  <w:tcW w:w="952" w:type="dxa"/>
                  <w:vAlign w:val="center"/>
                </w:tcPr>
                <w:p w14:paraId="065A048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产品</w:t>
                  </w:r>
                </w:p>
                <w:p w14:paraId="466C2F5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名称</w:t>
                  </w:r>
                </w:p>
              </w:tc>
              <w:tc>
                <w:tcPr>
                  <w:tcW w:w="2299" w:type="dxa"/>
                  <w:shd w:val="clear" w:color="auto" w:fill="auto"/>
                  <w:noWrap/>
                  <w:vAlign w:val="center"/>
                </w:tcPr>
                <w:p w14:paraId="3F61125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材料名称</w:t>
                  </w:r>
                </w:p>
              </w:tc>
              <w:tc>
                <w:tcPr>
                  <w:tcW w:w="1180" w:type="dxa"/>
                  <w:shd w:val="clear" w:color="auto" w:fill="auto"/>
                  <w:noWrap/>
                  <w:vAlign w:val="center"/>
                </w:tcPr>
                <w:p w14:paraId="0A0894F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规格型号/mm</w:t>
                  </w:r>
                </w:p>
              </w:tc>
              <w:tc>
                <w:tcPr>
                  <w:tcW w:w="853" w:type="dxa"/>
                  <w:shd w:val="clear" w:color="auto" w:fill="auto"/>
                  <w:noWrap/>
                  <w:vAlign w:val="center"/>
                </w:tcPr>
                <w:p w14:paraId="064815B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单位</w:t>
                  </w:r>
                </w:p>
              </w:tc>
              <w:tc>
                <w:tcPr>
                  <w:tcW w:w="1568" w:type="dxa"/>
                  <w:shd w:val="clear" w:color="auto" w:fill="auto"/>
                  <w:vAlign w:val="center"/>
                </w:tcPr>
                <w:p w14:paraId="1675A742">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年消</w:t>
                  </w:r>
                </w:p>
                <w:p w14:paraId="3A9E5509">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耗量</w:t>
                  </w:r>
                </w:p>
              </w:tc>
              <w:tc>
                <w:tcPr>
                  <w:tcW w:w="823" w:type="dxa"/>
                  <w:vAlign w:val="center"/>
                </w:tcPr>
                <w:p w14:paraId="67310DB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最大暂存量</w:t>
                  </w:r>
                </w:p>
              </w:tc>
              <w:tc>
                <w:tcPr>
                  <w:tcW w:w="884" w:type="dxa"/>
                  <w:vAlign w:val="center"/>
                </w:tcPr>
                <w:p w14:paraId="5FE8F2D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暂存</w:t>
                  </w:r>
                </w:p>
                <w:p w14:paraId="06B8DA2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位置</w:t>
                  </w:r>
                </w:p>
              </w:tc>
            </w:tr>
            <w:tr w14:paraId="5202E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restart"/>
                  <w:shd w:val="clear" w:color="000000" w:fill="FFFFFF"/>
                  <w:vAlign w:val="center"/>
                </w:tcPr>
                <w:p w14:paraId="1C957B32">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通用设备结构件</w:t>
                  </w:r>
                </w:p>
              </w:tc>
              <w:tc>
                <w:tcPr>
                  <w:tcW w:w="2299" w:type="dxa"/>
                  <w:shd w:val="clear" w:color="000000" w:fill="FFFFFF"/>
                  <w:noWrap/>
                  <w:vAlign w:val="center"/>
                </w:tcPr>
                <w:p w14:paraId="2DA3EC0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钢板</w:t>
                  </w:r>
                </w:p>
              </w:tc>
              <w:tc>
                <w:tcPr>
                  <w:tcW w:w="1180" w:type="dxa"/>
                  <w:shd w:val="clear" w:color="000000" w:fill="FFFFFF"/>
                  <w:noWrap/>
                  <w:vAlign w:val="center"/>
                </w:tcPr>
                <w:p w14:paraId="04A2B19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Q235</w:t>
                  </w:r>
                </w:p>
              </w:tc>
              <w:tc>
                <w:tcPr>
                  <w:tcW w:w="853" w:type="dxa"/>
                  <w:shd w:val="clear" w:color="000000" w:fill="FFFFFF"/>
                  <w:noWrap/>
                  <w:vAlign w:val="center"/>
                </w:tcPr>
                <w:p w14:paraId="7083E10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shd w:val="clear" w:color="auto" w:fill="auto"/>
                  <w:noWrap/>
                  <w:vAlign w:val="center"/>
                </w:tcPr>
                <w:p w14:paraId="0E5C5DA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1360</w:t>
                  </w:r>
                </w:p>
              </w:tc>
              <w:tc>
                <w:tcPr>
                  <w:tcW w:w="823" w:type="dxa"/>
                  <w:vAlign w:val="center"/>
                </w:tcPr>
                <w:p w14:paraId="088090A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50t</w:t>
                  </w:r>
                </w:p>
              </w:tc>
              <w:tc>
                <w:tcPr>
                  <w:tcW w:w="884" w:type="dxa"/>
                  <w:vMerge w:val="restart"/>
                  <w:vAlign w:val="center"/>
                </w:tcPr>
                <w:p w14:paraId="473B169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原料仓库</w:t>
                  </w:r>
                </w:p>
                <w:p w14:paraId="40DF4FBD">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4BB55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53D1DCD6">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3511CD0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无缝管</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6F2F30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31627F4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AB9ACE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w:t>
                  </w:r>
                </w:p>
              </w:tc>
              <w:tc>
                <w:tcPr>
                  <w:tcW w:w="823" w:type="dxa"/>
                  <w:tcBorders>
                    <w:top w:val="single" w:color="auto" w:sz="4" w:space="0"/>
                    <w:left w:val="single" w:color="auto" w:sz="4" w:space="0"/>
                    <w:bottom w:val="single" w:color="auto" w:sz="4" w:space="0"/>
                  </w:tcBorders>
                  <w:vAlign w:val="center"/>
                </w:tcPr>
                <w:p w14:paraId="302BA35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1t</w:t>
                  </w:r>
                </w:p>
              </w:tc>
              <w:tc>
                <w:tcPr>
                  <w:tcW w:w="884" w:type="dxa"/>
                  <w:vMerge w:val="continue"/>
                  <w:vAlign w:val="center"/>
                </w:tcPr>
                <w:p w14:paraId="15251C24">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1A69C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05CB997A">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6ECB7FA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盖板</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FEC716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Q235</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CC7202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29910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42</w:t>
                  </w:r>
                  <w:r>
                    <w:rPr>
                      <w:rFonts w:hint="default" w:ascii="Times New Roman" w:hAnsi="Times New Roman" w:cs="Times New Roman"/>
                      <w:color w:val="000000" w:themeColor="text1"/>
                      <w:szCs w:val="21"/>
                      <w:highlight w:val="none"/>
                      <w14:textFill>
                        <w14:solidFill>
                          <w14:schemeClr w14:val="tx1"/>
                        </w14:solidFill>
                      </w14:textFill>
                    </w:rPr>
                    <w:t>0</w:t>
                  </w:r>
                </w:p>
              </w:tc>
              <w:tc>
                <w:tcPr>
                  <w:tcW w:w="823" w:type="dxa"/>
                  <w:tcBorders>
                    <w:top w:val="single" w:color="auto" w:sz="4" w:space="0"/>
                    <w:left w:val="single" w:color="auto" w:sz="4" w:space="0"/>
                    <w:bottom w:val="single" w:color="auto" w:sz="4" w:space="0"/>
                  </w:tcBorders>
                  <w:vAlign w:val="center"/>
                </w:tcPr>
                <w:p w14:paraId="1BAD5BA3">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3t</w:t>
                  </w:r>
                </w:p>
              </w:tc>
              <w:tc>
                <w:tcPr>
                  <w:tcW w:w="884" w:type="dxa"/>
                  <w:vMerge w:val="continue"/>
                  <w:vAlign w:val="center"/>
                </w:tcPr>
                <w:p w14:paraId="64A14891">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408BE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6" w:hRule="atLeast"/>
              </w:trPr>
              <w:tc>
                <w:tcPr>
                  <w:tcW w:w="952" w:type="dxa"/>
                  <w:vMerge w:val="continue"/>
                  <w:shd w:val="clear" w:color="000000" w:fill="FFFFFF"/>
                  <w:vAlign w:val="center"/>
                </w:tcPr>
                <w:p w14:paraId="65F8FF8B">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1C70756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重金石</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153C3B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587DCC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2EB3C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210</w:t>
                  </w:r>
                </w:p>
              </w:tc>
              <w:tc>
                <w:tcPr>
                  <w:tcW w:w="823" w:type="dxa"/>
                  <w:tcBorders>
                    <w:top w:val="single" w:color="auto" w:sz="4" w:space="0"/>
                    <w:left w:val="single" w:color="auto" w:sz="4" w:space="0"/>
                    <w:bottom w:val="single" w:color="auto" w:sz="4" w:space="0"/>
                  </w:tcBorders>
                  <w:vAlign w:val="center"/>
                </w:tcPr>
                <w:p w14:paraId="62B4F865">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5t</w:t>
                  </w:r>
                </w:p>
              </w:tc>
              <w:tc>
                <w:tcPr>
                  <w:tcW w:w="884" w:type="dxa"/>
                  <w:vMerge w:val="continue"/>
                  <w:vAlign w:val="center"/>
                </w:tcPr>
                <w:p w14:paraId="53AA1F9E">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4F455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51B44B79">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0CC0404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配重填充块</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66E4C57">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073851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C4A06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9625</w:t>
                  </w:r>
                </w:p>
              </w:tc>
              <w:tc>
                <w:tcPr>
                  <w:tcW w:w="823" w:type="dxa"/>
                  <w:tcBorders>
                    <w:top w:val="single" w:color="auto" w:sz="4" w:space="0"/>
                    <w:left w:val="single" w:color="auto" w:sz="4" w:space="0"/>
                    <w:bottom w:val="single" w:color="auto" w:sz="4" w:space="0"/>
                  </w:tcBorders>
                  <w:vAlign w:val="center"/>
                </w:tcPr>
                <w:p w14:paraId="2449CD2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10t</w:t>
                  </w:r>
                </w:p>
              </w:tc>
              <w:tc>
                <w:tcPr>
                  <w:tcW w:w="884" w:type="dxa"/>
                  <w:vMerge w:val="restart"/>
                  <w:vAlign w:val="center"/>
                </w:tcPr>
                <w:p w14:paraId="3E514809">
                  <w:pPr>
                    <w:pStyle w:val="95"/>
                    <w:spacing w:after="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填充料存放区</w:t>
                  </w:r>
                </w:p>
              </w:tc>
            </w:tr>
            <w:tr w14:paraId="2F616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14AF8C26">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7D0B9ABE">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普废</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6E1910E">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7F10F9F">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95F0E76">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236</w:t>
                  </w:r>
                </w:p>
              </w:tc>
              <w:tc>
                <w:tcPr>
                  <w:tcW w:w="823" w:type="dxa"/>
                  <w:tcBorders>
                    <w:top w:val="single" w:color="auto" w:sz="4" w:space="0"/>
                    <w:left w:val="single" w:color="auto" w:sz="4" w:space="0"/>
                    <w:bottom w:val="single" w:color="auto" w:sz="4" w:space="0"/>
                  </w:tcBorders>
                  <w:vAlign w:val="center"/>
                </w:tcPr>
                <w:p w14:paraId="78B99DA1">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036672EA">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48F33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1A132B65">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05B30EFC">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重废、铸钢坯</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EBFCD2F">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952842D">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2BB0DCC">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1471</w:t>
                  </w:r>
                </w:p>
              </w:tc>
              <w:tc>
                <w:tcPr>
                  <w:tcW w:w="823" w:type="dxa"/>
                  <w:tcBorders>
                    <w:top w:val="single" w:color="auto" w:sz="4" w:space="0"/>
                    <w:left w:val="single" w:color="auto" w:sz="4" w:space="0"/>
                    <w:bottom w:val="single" w:color="auto" w:sz="4" w:space="0"/>
                  </w:tcBorders>
                  <w:vAlign w:val="center"/>
                </w:tcPr>
                <w:p w14:paraId="1EBEFCED">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145B4D28">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32251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1774C555">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6544E86D">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钢砂</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364D5A68">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59FEC0C9">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E205783">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293</w:t>
                  </w:r>
                </w:p>
              </w:tc>
              <w:tc>
                <w:tcPr>
                  <w:tcW w:w="823" w:type="dxa"/>
                  <w:tcBorders>
                    <w:top w:val="single" w:color="auto" w:sz="4" w:space="0"/>
                    <w:left w:val="single" w:color="auto" w:sz="4" w:space="0"/>
                    <w:bottom w:val="single" w:color="auto" w:sz="4" w:space="0"/>
                  </w:tcBorders>
                  <w:vAlign w:val="center"/>
                </w:tcPr>
                <w:p w14:paraId="4649A1CC">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708F5579">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424A5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01768442">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4AAD6A82">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赤铁矿</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5E282D05">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DEB9898">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B8C0D6A">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1233</w:t>
                  </w:r>
                </w:p>
              </w:tc>
              <w:tc>
                <w:tcPr>
                  <w:tcW w:w="823" w:type="dxa"/>
                  <w:tcBorders>
                    <w:top w:val="single" w:color="auto" w:sz="4" w:space="0"/>
                    <w:left w:val="single" w:color="auto" w:sz="4" w:space="0"/>
                    <w:bottom w:val="single" w:color="auto" w:sz="4" w:space="0"/>
                  </w:tcBorders>
                  <w:vAlign w:val="center"/>
                </w:tcPr>
                <w:p w14:paraId="29A6927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043CB05B">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33C97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2F03B76E">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42802843">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冰铜渣</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9551593">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C10FA09">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B7BDB5">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255</w:t>
                  </w:r>
                </w:p>
              </w:tc>
              <w:tc>
                <w:tcPr>
                  <w:tcW w:w="823" w:type="dxa"/>
                  <w:tcBorders>
                    <w:top w:val="single" w:color="auto" w:sz="4" w:space="0"/>
                    <w:left w:val="single" w:color="auto" w:sz="4" w:space="0"/>
                    <w:bottom w:val="single" w:color="auto" w:sz="4" w:space="0"/>
                  </w:tcBorders>
                  <w:vAlign w:val="center"/>
                </w:tcPr>
                <w:p w14:paraId="7D45BEA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3402A98E">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0F66A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86" w:hRule="atLeast"/>
              </w:trPr>
              <w:tc>
                <w:tcPr>
                  <w:tcW w:w="952" w:type="dxa"/>
                  <w:vMerge w:val="continue"/>
                  <w:shd w:val="clear" w:color="000000" w:fill="FFFFFF"/>
                  <w:vAlign w:val="center"/>
                </w:tcPr>
                <w:p w14:paraId="06DEC722">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473D3C4E">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锰矿石</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55D92F03">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AD51E0C">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5DE6B82">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319</w:t>
                  </w:r>
                </w:p>
              </w:tc>
              <w:tc>
                <w:tcPr>
                  <w:tcW w:w="823" w:type="dxa"/>
                  <w:tcBorders>
                    <w:top w:val="single" w:color="auto" w:sz="4" w:space="0"/>
                    <w:left w:val="single" w:color="auto" w:sz="4" w:space="0"/>
                    <w:bottom w:val="single" w:color="auto" w:sz="4" w:space="0"/>
                  </w:tcBorders>
                  <w:vAlign w:val="center"/>
                </w:tcPr>
                <w:p w14:paraId="57BB9B96">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5</w:t>
                  </w:r>
                  <w:r>
                    <w:rPr>
                      <w:rFonts w:hint="default" w:ascii="Times New Roman" w:hAnsi="Times New Roman" w:cs="Times New Roman"/>
                      <w:color w:val="000000" w:themeColor="text1"/>
                      <w:highlight w:val="none"/>
                      <w:u w:val="single"/>
                      <w14:textFill>
                        <w14:solidFill>
                          <w14:schemeClr w14:val="tx1"/>
                        </w14:solidFill>
                      </w14:textFill>
                    </w:rPr>
                    <w:t>t</w:t>
                  </w:r>
                </w:p>
              </w:tc>
              <w:tc>
                <w:tcPr>
                  <w:tcW w:w="884" w:type="dxa"/>
                  <w:vMerge w:val="continue"/>
                  <w:vAlign w:val="center"/>
                </w:tcPr>
                <w:p w14:paraId="42715368">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7F5AC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58BD51BC">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361157C5">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水泥</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B583B9B">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64E468F">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FD895A">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21</w:t>
                  </w:r>
                </w:p>
              </w:tc>
              <w:tc>
                <w:tcPr>
                  <w:tcW w:w="823" w:type="dxa"/>
                  <w:tcBorders>
                    <w:top w:val="single" w:color="auto" w:sz="4" w:space="0"/>
                    <w:left w:val="single" w:color="auto" w:sz="4" w:space="0"/>
                    <w:bottom w:val="single" w:color="auto" w:sz="4" w:space="0"/>
                  </w:tcBorders>
                  <w:vAlign w:val="center"/>
                </w:tcPr>
                <w:p w14:paraId="527AC520">
                  <w:pPr>
                    <w:pStyle w:val="95"/>
                    <w:spacing w:after="0"/>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1t</w:t>
                  </w:r>
                </w:p>
              </w:tc>
              <w:tc>
                <w:tcPr>
                  <w:tcW w:w="884" w:type="dxa"/>
                  <w:vMerge w:val="continue"/>
                  <w:vAlign w:val="center"/>
                </w:tcPr>
                <w:p w14:paraId="2D057AA2">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35BA0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2B79034C">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67A23C0B">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沙子</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5FCA0BF">
                  <w:pPr>
                    <w:pStyle w:val="95"/>
                    <w:spacing w:after="0"/>
                    <w:ind w:right="113" w:rightChars="0" w:firstLine="0" w:firstLineChars="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29FE190">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761D1C5">
                  <w:pPr>
                    <w:keepNext w:val="0"/>
                    <w:keepLines w:val="0"/>
                    <w:widowControl/>
                    <w:suppressLineNumbers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single"/>
                      <w:lang w:val="en-US" w:eastAsia="zh-CN" w:bidi="ar"/>
                      <w14:textFill>
                        <w14:solidFill>
                          <w14:schemeClr w14:val="tx1"/>
                        </w14:solidFill>
                      </w14:textFill>
                    </w:rPr>
                    <w:t>21</w:t>
                  </w:r>
                </w:p>
              </w:tc>
              <w:tc>
                <w:tcPr>
                  <w:tcW w:w="823" w:type="dxa"/>
                  <w:tcBorders>
                    <w:top w:val="single" w:color="auto" w:sz="4" w:space="0"/>
                    <w:left w:val="single" w:color="auto" w:sz="4" w:space="0"/>
                    <w:bottom w:val="single" w:color="auto" w:sz="4" w:space="0"/>
                  </w:tcBorders>
                  <w:vAlign w:val="center"/>
                </w:tcPr>
                <w:p w14:paraId="5F962D8D">
                  <w:pPr>
                    <w:pStyle w:val="95"/>
                    <w:spacing w:after="0"/>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1t</w:t>
                  </w:r>
                </w:p>
              </w:tc>
              <w:tc>
                <w:tcPr>
                  <w:tcW w:w="884" w:type="dxa"/>
                  <w:vMerge w:val="continue"/>
                  <w:tcBorders>
                    <w:bottom w:val="single" w:color="auto" w:sz="4" w:space="0"/>
                  </w:tcBorders>
                  <w:vAlign w:val="center"/>
                </w:tcPr>
                <w:p w14:paraId="4C5CBCFE">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05BB4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287FED58">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3BF565F7">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焊丝</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505578F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A0F6DF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CFA26F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17.8</w:t>
                  </w:r>
                </w:p>
              </w:tc>
              <w:tc>
                <w:tcPr>
                  <w:tcW w:w="823" w:type="dxa"/>
                  <w:tcBorders>
                    <w:top w:val="single" w:color="auto" w:sz="4" w:space="0"/>
                    <w:left w:val="single" w:color="auto" w:sz="4" w:space="0"/>
                    <w:bottom w:val="single" w:color="auto" w:sz="4" w:space="0"/>
                    <w:right w:val="single" w:color="auto" w:sz="4" w:space="0"/>
                  </w:tcBorders>
                  <w:vAlign w:val="center"/>
                </w:tcPr>
                <w:p w14:paraId="63B6DA2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1t</w:t>
                  </w:r>
                </w:p>
              </w:tc>
              <w:tc>
                <w:tcPr>
                  <w:tcW w:w="884" w:type="dxa"/>
                  <w:vMerge w:val="restart"/>
                  <w:tcBorders>
                    <w:top w:val="single" w:color="auto" w:sz="4" w:space="0"/>
                    <w:left w:val="single" w:color="auto" w:sz="4" w:space="0"/>
                    <w:right w:val="single" w:color="auto" w:sz="4" w:space="0"/>
                  </w:tcBorders>
                  <w:vAlign w:val="center"/>
                </w:tcPr>
                <w:p w14:paraId="78DB077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辅料仓库</w:t>
                  </w:r>
                </w:p>
              </w:tc>
            </w:tr>
            <w:tr w14:paraId="0EC2C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7DD2B84B">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17F51AC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焊接保护气体</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3110C56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6B72692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F389107">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34.8</w:t>
                  </w:r>
                </w:p>
              </w:tc>
              <w:tc>
                <w:tcPr>
                  <w:tcW w:w="823" w:type="dxa"/>
                  <w:tcBorders>
                    <w:top w:val="single" w:color="auto" w:sz="4" w:space="0"/>
                    <w:left w:val="single" w:color="auto" w:sz="4" w:space="0"/>
                    <w:bottom w:val="single" w:color="auto" w:sz="4" w:space="0"/>
                    <w:right w:val="single" w:color="auto" w:sz="4" w:space="0"/>
                  </w:tcBorders>
                  <w:vAlign w:val="center"/>
                </w:tcPr>
                <w:p w14:paraId="58207243">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1t</w:t>
                  </w:r>
                </w:p>
              </w:tc>
              <w:tc>
                <w:tcPr>
                  <w:tcW w:w="884" w:type="dxa"/>
                  <w:vMerge w:val="continue"/>
                  <w:tcBorders>
                    <w:left w:val="single" w:color="auto" w:sz="4" w:space="0"/>
                    <w:right w:val="single" w:color="auto" w:sz="4" w:space="0"/>
                  </w:tcBorders>
                  <w:vAlign w:val="center"/>
                </w:tcPr>
                <w:p w14:paraId="6FCC616F">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1A838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restart"/>
                  <w:shd w:val="clear" w:color="000000" w:fill="FFFFFF"/>
                  <w:vAlign w:val="center"/>
                </w:tcPr>
                <w:p w14:paraId="61F832F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油性漆</w:t>
                  </w:r>
                </w:p>
              </w:tc>
              <w:tc>
                <w:tcPr>
                  <w:tcW w:w="2299" w:type="dxa"/>
                  <w:tcBorders>
                    <w:top w:val="single" w:color="auto" w:sz="4" w:space="0"/>
                    <w:bottom w:val="single" w:color="auto" w:sz="4" w:space="0"/>
                    <w:right w:val="single" w:color="auto" w:sz="4" w:space="0"/>
                  </w:tcBorders>
                  <w:shd w:val="clear" w:color="000000" w:fill="FFFFFF"/>
                  <w:noWrap/>
                  <w:vAlign w:val="center"/>
                </w:tcPr>
                <w:p w14:paraId="09C8167C">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底漆</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5C1343F9">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6A2398BF">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2A7C9CD">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3.618（含1.5t现有项目底漆量）</w:t>
                  </w:r>
                </w:p>
              </w:tc>
              <w:tc>
                <w:tcPr>
                  <w:tcW w:w="823" w:type="dxa"/>
                  <w:tcBorders>
                    <w:top w:val="single" w:color="auto" w:sz="4" w:space="0"/>
                    <w:left w:val="single" w:color="auto" w:sz="4" w:space="0"/>
                    <w:bottom w:val="single" w:color="auto" w:sz="4" w:space="0"/>
                    <w:right w:val="single" w:color="auto" w:sz="4" w:space="0"/>
                  </w:tcBorders>
                  <w:vAlign w:val="center"/>
                </w:tcPr>
                <w:p w14:paraId="29F5A553">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0.5t</w:t>
                  </w:r>
                </w:p>
              </w:tc>
              <w:tc>
                <w:tcPr>
                  <w:tcW w:w="884" w:type="dxa"/>
                  <w:vMerge w:val="continue"/>
                  <w:tcBorders>
                    <w:left w:val="single" w:color="auto" w:sz="4" w:space="0"/>
                    <w:right w:val="single" w:color="auto" w:sz="4" w:space="0"/>
                  </w:tcBorders>
                  <w:vAlign w:val="center"/>
                </w:tcPr>
                <w:p w14:paraId="4FD431B3">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22B8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426B19DD">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21CBF96C">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面漆</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92C5850">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2544B1C2">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6417E5">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2.585（含1.5t现有项目面漆量）</w:t>
                  </w:r>
                </w:p>
              </w:tc>
              <w:tc>
                <w:tcPr>
                  <w:tcW w:w="823" w:type="dxa"/>
                  <w:tcBorders>
                    <w:top w:val="single" w:color="auto" w:sz="4" w:space="0"/>
                    <w:left w:val="single" w:color="auto" w:sz="4" w:space="0"/>
                    <w:bottom w:val="single" w:color="auto" w:sz="4" w:space="0"/>
                    <w:right w:val="single" w:color="auto" w:sz="4" w:space="0"/>
                  </w:tcBorders>
                  <w:vAlign w:val="center"/>
                </w:tcPr>
                <w:p w14:paraId="35F5A3C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0.1t</w:t>
                  </w:r>
                </w:p>
              </w:tc>
              <w:tc>
                <w:tcPr>
                  <w:tcW w:w="884" w:type="dxa"/>
                  <w:vMerge w:val="continue"/>
                  <w:tcBorders>
                    <w:left w:val="single" w:color="auto" w:sz="4" w:space="0"/>
                    <w:right w:val="single" w:color="auto" w:sz="4" w:space="0"/>
                  </w:tcBorders>
                  <w:vAlign w:val="center"/>
                </w:tcPr>
                <w:p w14:paraId="2B98DF3D">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23F1E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2A9F7A42">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4321F0B8">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固化剂</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81CAC46">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F099C58">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EBFCE89">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2.069</w:t>
                  </w:r>
                  <w:r>
                    <w:rPr>
                      <w:rFonts w:hint="default" w:ascii="Times New Roman" w:hAnsi="Times New Roman" w:cs="Times New Roman"/>
                      <w:color w:val="000000" w:themeColor="text1"/>
                      <w:szCs w:val="21"/>
                      <w:highlight w:val="none"/>
                      <w:u w:val="single"/>
                      <w14:textFill>
                        <w14:solidFill>
                          <w14:schemeClr w14:val="tx1"/>
                        </w14:solidFill>
                      </w14:textFill>
                    </w:rPr>
                    <w:t>（含1.65t现有项目固化剂量）</w:t>
                  </w:r>
                </w:p>
              </w:tc>
              <w:tc>
                <w:tcPr>
                  <w:tcW w:w="823" w:type="dxa"/>
                  <w:tcBorders>
                    <w:top w:val="single" w:color="auto" w:sz="4" w:space="0"/>
                    <w:left w:val="single" w:color="auto" w:sz="4" w:space="0"/>
                    <w:bottom w:val="single" w:color="auto" w:sz="4" w:space="0"/>
                    <w:right w:val="single" w:color="auto" w:sz="4" w:space="0"/>
                  </w:tcBorders>
                  <w:vAlign w:val="center"/>
                </w:tcPr>
                <w:p w14:paraId="5F632D31">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0.5t</w:t>
                  </w:r>
                </w:p>
              </w:tc>
              <w:tc>
                <w:tcPr>
                  <w:tcW w:w="884" w:type="dxa"/>
                  <w:vMerge w:val="continue"/>
                  <w:tcBorders>
                    <w:left w:val="single" w:color="auto" w:sz="4" w:space="0"/>
                    <w:right w:val="single" w:color="auto" w:sz="4" w:space="0"/>
                  </w:tcBorders>
                  <w:vAlign w:val="center"/>
                </w:tcPr>
                <w:p w14:paraId="7AC99F51">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02075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11B3A59E">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33E54882">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稀释剂</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E1B8036">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012816C">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0FBABA1">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1.385（含1.2t现有项目稀释剂量）</w:t>
                  </w:r>
                </w:p>
              </w:tc>
              <w:tc>
                <w:tcPr>
                  <w:tcW w:w="823" w:type="dxa"/>
                  <w:tcBorders>
                    <w:top w:val="single" w:color="auto" w:sz="4" w:space="0"/>
                    <w:left w:val="single" w:color="auto" w:sz="4" w:space="0"/>
                    <w:bottom w:val="single" w:color="auto" w:sz="4" w:space="0"/>
                    <w:right w:val="single" w:color="auto" w:sz="4" w:space="0"/>
                  </w:tcBorders>
                  <w:vAlign w:val="center"/>
                </w:tcPr>
                <w:p w14:paraId="31F41D73">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0.01t</w:t>
                  </w:r>
                </w:p>
              </w:tc>
              <w:tc>
                <w:tcPr>
                  <w:tcW w:w="884" w:type="dxa"/>
                  <w:vMerge w:val="continue"/>
                  <w:tcBorders>
                    <w:left w:val="single" w:color="auto" w:sz="4" w:space="0"/>
                    <w:right w:val="single" w:color="auto" w:sz="4" w:space="0"/>
                  </w:tcBorders>
                  <w:vAlign w:val="center"/>
                </w:tcPr>
                <w:p w14:paraId="7D1AA3B5">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2D66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shd w:val="clear" w:color="000000" w:fill="FFFFFF"/>
                  <w:vAlign w:val="center"/>
                </w:tcPr>
                <w:p w14:paraId="6F6BDDA4">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喷枪</w:t>
                  </w:r>
                </w:p>
              </w:tc>
              <w:tc>
                <w:tcPr>
                  <w:tcW w:w="2299" w:type="dxa"/>
                  <w:tcBorders>
                    <w:top w:val="single" w:color="auto" w:sz="4" w:space="0"/>
                    <w:bottom w:val="single" w:color="auto" w:sz="4" w:space="0"/>
                    <w:right w:val="single" w:color="auto" w:sz="4" w:space="0"/>
                  </w:tcBorders>
                  <w:shd w:val="clear" w:color="000000" w:fill="FFFFFF"/>
                  <w:noWrap/>
                  <w:vAlign w:val="center"/>
                </w:tcPr>
                <w:p w14:paraId="1822D238">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清洗剂</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AE77FA5">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6E18937D">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FDF053E">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0.03</w:t>
                  </w:r>
                </w:p>
              </w:tc>
              <w:tc>
                <w:tcPr>
                  <w:tcW w:w="823" w:type="dxa"/>
                  <w:tcBorders>
                    <w:top w:val="single" w:color="auto" w:sz="4" w:space="0"/>
                    <w:left w:val="single" w:color="auto" w:sz="4" w:space="0"/>
                    <w:bottom w:val="single" w:color="auto" w:sz="4" w:space="0"/>
                    <w:right w:val="single" w:color="auto" w:sz="4" w:space="0"/>
                  </w:tcBorders>
                  <w:vAlign w:val="center"/>
                </w:tcPr>
                <w:p w14:paraId="69D8E57A">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0.02</w:t>
                  </w:r>
                </w:p>
              </w:tc>
              <w:tc>
                <w:tcPr>
                  <w:tcW w:w="884" w:type="dxa"/>
                  <w:vMerge w:val="continue"/>
                  <w:tcBorders>
                    <w:left w:val="single" w:color="auto" w:sz="4" w:space="0"/>
                    <w:right w:val="single" w:color="auto" w:sz="4" w:space="0"/>
                  </w:tcBorders>
                  <w:vAlign w:val="center"/>
                </w:tcPr>
                <w:p w14:paraId="40E85DE0">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6B397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restart"/>
                  <w:shd w:val="clear" w:color="000000" w:fill="FFFFFF"/>
                  <w:vAlign w:val="center"/>
                </w:tcPr>
                <w:p w14:paraId="438F436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能源</w:t>
                  </w:r>
                </w:p>
              </w:tc>
              <w:tc>
                <w:tcPr>
                  <w:tcW w:w="2299" w:type="dxa"/>
                  <w:tcBorders>
                    <w:top w:val="single" w:color="auto" w:sz="4" w:space="0"/>
                    <w:bottom w:val="single" w:color="auto" w:sz="4" w:space="0"/>
                    <w:right w:val="single" w:color="auto" w:sz="4" w:space="0"/>
                  </w:tcBorders>
                  <w:shd w:val="clear" w:color="000000" w:fill="FFFFFF"/>
                  <w:noWrap/>
                  <w:vAlign w:val="center"/>
                </w:tcPr>
                <w:p w14:paraId="6A1AB06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电力</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CEDFFF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1806D94">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万Kv/a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6F8CD5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140</w:t>
                  </w:r>
                </w:p>
              </w:tc>
              <w:tc>
                <w:tcPr>
                  <w:tcW w:w="823" w:type="dxa"/>
                  <w:tcBorders>
                    <w:top w:val="single" w:color="auto" w:sz="4" w:space="0"/>
                    <w:left w:val="single" w:color="auto" w:sz="4" w:space="0"/>
                    <w:bottom w:val="single" w:color="auto" w:sz="4" w:space="0"/>
                    <w:right w:val="single" w:color="auto" w:sz="4" w:space="0"/>
                  </w:tcBorders>
                  <w:vAlign w:val="center"/>
                </w:tcPr>
                <w:p w14:paraId="71EA3EC5">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84" w:type="dxa"/>
                  <w:tcBorders>
                    <w:top w:val="single" w:color="auto" w:sz="4" w:space="0"/>
                    <w:left w:val="single" w:color="auto" w:sz="4" w:space="0"/>
                    <w:bottom w:val="single" w:color="auto" w:sz="4" w:space="0"/>
                    <w:right w:val="single" w:color="auto" w:sz="4" w:space="0"/>
                  </w:tcBorders>
                  <w:vAlign w:val="center"/>
                </w:tcPr>
                <w:p w14:paraId="4277064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市政电网</w:t>
                  </w:r>
                </w:p>
              </w:tc>
            </w:tr>
            <w:tr w14:paraId="7DED9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17E9C946">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7EDB5393">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水</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3F2223BE">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1BC1F4E3">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DC592A">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1215</w:t>
                  </w:r>
                </w:p>
              </w:tc>
              <w:tc>
                <w:tcPr>
                  <w:tcW w:w="823" w:type="dxa"/>
                  <w:tcBorders>
                    <w:top w:val="single" w:color="auto" w:sz="4" w:space="0"/>
                    <w:left w:val="single" w:color="auto" w:sz="4" w:space="0"/>
                    <w:bottom w:val="single" w:color="auto" w:sz="4" w:space="0"/>
                    <w:right w:val="single" w:color="auto" w:sz="4" w:space="0"/>
                  </w:tcBorders>
                  <w:vAlign w:val="center"/>
                </w:tcPr>
                <w:p w14:paraId="7255A301">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884" w:type="dxa"/>
                  <w:tcBorders>
                    <w:top w:val="single" w:color="auto" w:sz="4" w:space="0"/>
                    <w:left w:val="single" w:color="auto" w:sz="4" w:space="0"/>
                    <w:bottom w:val="single" w:color="auto" w:sz="4" w:space="0"/>
                    <w:right w:val="single" w:color="auto" w:sz="4" w:space="0"/>
                  </w:tcBorders>
                  <w:vAlign w:val="center"/>
                </w:tcPr>
                <w:p w14:paraId="5A5B5C3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市政电网</w:t>
                  </w:r>
                </w:p>
              </w:tc>
            </w:tr>
            <w:tr w14:paraId="1A2CA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restart"/>
                  <w:shd w:val="clear" w:color="000000" w:fill="FFFFFF"/>
                  <w:vAlign w:val="center"/>
                </w:tcPr>
                <w:p w14:paraId="1EE37E9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设备维保</w:t>
                  </w:r>
                </w:p>
              </w:tc>
              <w:tc>
                <w:tcPr>
                  <w:tcW w:w="2299" w:type="dxa"/>
                  <w:tcBorders>
                    <w:top w:val="single" w:color="auto" w:sz="4" w:space="0"/>
                    <w:bottom w:val="single" w:color="auto" w:sz="4" w:space="0"/>
                    <w:right w:val="single" w:color="auto" w:sz="4" w:space="0"/>
                  </w:tcBorders>
                  <w:shd w:val="clear" w:color="000000" w:fill="FFFFFF"/>
                  <w:noWrap/>
                  <w:vAlign w:val="center"/>
                </w:tcPr>
                <w:p w14:paraId="187B1DAD">
                  <w:pPr>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机油</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62E34A3">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75A6334B">
                  <w:pPr>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0ABB89">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w:t>
                  </w:r>
                </w:p>
              </w:tc>
              <w:tc>
                <w:tcPr>
                  <w:tcW w:w="823" w:type="dxa"/>
                  <w:tcBorders>
                    <w:top w:val="single" w:color="auto" w:sz="4" w:space="0"/>
                    <w:left w:val="single" w:color="auto" w:sz="4" w:space="0"/>
                    <w:bottom w:val="single" w:color="auto" w:sz="4" w:space="0"/>
                    <w:right w:val="single" w:color="auto" w:sz="4" w:space="0"/>
                  </w:tcBorders>
                  <w:vAlign w:val="center"/>
                </w:tcPr>
                <w:p w14:paraId="2AC930D7">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0.5t</w:t>
                  </w:r>
                </w:p>
              </w:tc>
              <w:tc>
                <w:tcPr>
                  <w:tcW w:w="884" w:type="dxa"/>
                  <w:vMerge w:val="restart"/>
                  <w:tcBorders>
                    <w:left w:val="single" w:color="auto" w:sz="4" w:space="0"/>
                    <w:right w:val="single" w:color="auto" w:sz="4" w:space="0"/>
                  </w:tcBorders>
                  <w:vAlign w:val="center"/>
                </w:tcPr>
                <w:p w14:paraId="0363792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辅料仓库</w:t>
                  </w:r>
                </w:p>
              </w:tc>
            </w:tr>
            <w:tr w14:paraId="7450E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vMerge w:val="continue"/>
                  <w:shd w:val="clear" w:color="000000" w:fill="FFFFFF"/>
                  <w:vAlign w:val="center"/>
                </w:tcPr>
                <w:p w14:paraId="3D44D8AD">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2299" w:type="dxa"/>
                  <w:tcBorders>
                    <w:top w:val="single" w:color="auto" w:sz="4" w:space="0"/>
                    <w:bottom w:val="single" w:color="auto" w:sz="4" w:space="0"/>
                    <w:right w:val="single" w:color="auto" w:sz="4" w:space="0"/>
                  </w:tcBorders>
                  <w:shd w:val="clear" w:color="000000" w:fill="FFFFFF"/>
                  <w:noWrap/>
                  <w:vAlign w:val="center"/>
                </w:tcPr>
                <w:p w14:paraId="15392D9B">
                  <w:pPr>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润滑油</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D97551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41A865FE">
                  <w:pPr>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5D86C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823" w:type="dxa"/>
                  <w:tcBorders>
                    <w:top w:val="single" w:color="auto" w:sz="4" w:space="0"/>
                    <w:left w:val="single" w:color="auto" w:sz="4" w:space="0"/>
                    <w:bottom w:val="single" w:color="auto" w:sz="4" w:space="0"/>
                    <w:right w:val="single" w:color="auto" w:sz="4" w:space="0"/>
                  </w:tcBorders>
                  <w:vAlign w:val="center"/>
                </w:tcPr>
                <w:p w14:paraId="43097C4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0.5t</w:t>
                  </w:r>
                </w:p>
              </w:tc>
              <w:tc>
                <w:tcPr>
                  <w:tcW w:w="884" w:type="dxa"/>
                  <w:vMerge w:val="continue"/>
                  <w:tcBorders>
                    <w:left w:val="single" w:color="auto" w:sz="4" w:space="0"/>
                    <w:right w:val="single" w:color="auto" w:sz="4" w:space="0"/>
                  </w:tcBorders>
                  <w:vAlign w:val="center"/>
                </w:tcPr>
                <w:p w14:paraId="5DF0A759">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22614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52" w:type="dxa"/>
                  <w:shd w:val="clear" w:color="000000" w:fill="FFFFFF"/>
                  <w:vAlign w:val="center"/>
                </w:tcPr>
                <w:p w14:paraId="5E4B0944">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环保耗材</w:t>
                  </w:r>
                </w:p>
              </w:tc>
              <w:tc>
                <w:tcPr>
                  <w:tcW w:w="2299" w:type="dxa"/>
                  <w:tcBorders>
                    <w:top w:val="single" w:color="auto" w:sz="4" w:space="0"/>
                    <w:bottom w:val="single" w:color="auto" w:sz="4" w:space="0"/>
                    <w:right w:val="single" w:color="auto" w:sz="4" w:space="0"/>
                  </w:tcBorders>
                  <w:shd w:val="clear" w:color="000000" w:fill="FFFFFF"/>
                  <w:noWrap/>
                  <w:vAlign w:val="center"/>
                </w:tcPr>
                <w:p w14:paraId="7FAF577B">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活性炭</w:t>
                  </w:r>
                </w:p>
              </w:tc>
              <w:tc>
                <w:tcPr>
                  <w:tcW w:w="1180"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04BC0B77">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853" w:type="dxa"/>
                  <w:tcBorders>
                    <w:top w:val="single" w:color="auto" w:sz="4" w:space="0"/>
                    <w:left w:val="single" w:color="auto" w:sz="4" w:space="0"/>
                    <w:bottom w:val="single" w:color="auto" w:sz="4" w:space="0"/>
                    <w:right w:val="single" w:color="auto" w:sz="4" w:space="0"/>
                  </w:tcBorders>
                  <w:shd w:val="clear" w:color="000000" w:fill="FFFFFF"/>
                  <w:noWrap/>
                  <w:vAlign w:val="center"/>
                </w:tcPr>
                <w:p w14:paraId="3D10786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1568"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E896C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823" w:type="dxa"/>
                  <w:tcBorders>
                    <w:top w:val="single" w:color="auto" w:sz="4" w:space="0"/>
                    <w:left w:val="single" w:color="auto" w:sz="4" w:space="0"/>
                    <w:bottom w:val="single" w:color="auto" w:sz="4" w:space="0"/>
                    <w:right w:val="single" w:color="auto" w:sz="4" w:space="0"/>
                  </w:tcBorders>
                  <w:vAlign w:val="center"/>
                </w:tcPr>
                <w:p w14:paraId="64EE594A">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0.5t</w:t>
                  </w:r>
                </w:p>
              </w:tc>
              <w:tc>
                <w:tcPr>
                  <w:tcW w:w="884" w:type="dxa"/>
                  <w:vMerge w:val="continue"/>
                  <w:tcBorders>
                    <w:left w:val="single" w:color="auto" w:sz="4" w:space="0"/>
                    <w:right w:val="single" w:color="auto" w:sz="4" w:space="0"/>
                  </w:tcBorders>
                  <w:vAlign w:val="center"/>
                </w:tcPr>
                <w:p w14:paraId="26E460C6">
                  <w:pPr>
                    <w:pStyle w:val="95"/>
                    <w:spacing w:after="0"/>
                    <w:rPr>
                      <w:rFonts w:hint="default" w:ascii="Times New Roman" w:hAnsi="Times New Roman" w:cs="Times New Roman"/>
                      <w:color w:val="000000" w:themeColor="text1"/>
                      <w:highlight w:val="none"/>
                      <w14:textFill>
                        <w14:solidFill>
                          <w14:schemeClr w14:val="tx1"/>
                        </w14:solidFill>
                      </w14:textFill>
                    </w:rPr>
                  </w:pPr>
                </w:p>
              </w:tc>
            </w:tr>
          </w:tbl>
          <w:p w14:paraId="09DB32A9">
            <w:pPr>
              <w:pStyle w:val="63"/>
              <w:tabs>
                <w:tab w:val="left" w:pos="3226"/>
              </w:tabs>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（2）项目主要原辅材料理化性质</w:t>
            </w:r>
          </w:p>
          <w:p w14:paraId="3933396A">
            <w:pPr>
              <w:spacing w:line="360" w:lineRule="auto"/>
              <w:ind w:firstLine="480"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主要原辅材料的理化性质情况详见表2-5。</w:t>
            </w:r>
          </w:p>
          <w:p w14:paraId="44714B1D">
            <w:pPr>
              <w:pStyle w:val="97"/>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表2-</w:t>
            </w:r>
            <w:r>
              <w:rPr>
                <w:rFonts w:hint="default" w:ascii="Times New Roman" w:hAnsi="Times New Roman" w:cs="Times New Roman"/>
                <w:snapToGrid w:val="0"/>
                <w:color w:val="000000" w:themeColor="text1"/>
                <w:highlight w:val="none"/>
                <w:lang w:val="en-US" w:eastAsia="zh-CN"/>
                <w14:textFill>
                  <w14:solidFill>
                    <w14:schemeClr w14:val="tx1"/>
                  </w14:solidFill>
                </w14:textFill>
              </w:rPr>
              <w:t>5</w:t>
            </w:r>
            <w:r>
              <w:rPr>
                <w:rFonts w:hint="default" w:ascii="Times New Roman" w:hAnsi="Times New Roman" w:cs="Times New Roman"/>
                <w:snapToGrid w:val="0"/>
                <w:color w:val="000000" w:themeColor="text1"/>
                <w:highlight w:val="none"/>
                <w14:textFill>
                  <w14:solidFill>
                    <w14:schemeClr w14:val="tx1"/>
                  </w14:solidFill>
                </w14:textFill>
              </w:rPr>
              <w:t xml:space="preserve"> 主要原辅材料危险性概述一览表</w:t>
            </w:r>
          </w:p>
          <w:tbl>
            <w:tblPr>
              <w:tblStyle w:val="34"/>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145"/>
              <w:gridCol w:w="1353"/>
              <w:gridCol w:w="5275"/>
            </w:tblGrid>
            <w:tr w14:paraId="0639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438" w:type="pct"/>
                  <w:vAlign w:val="center"/>
                </w:tcPr>
                <w:p w14:paraId="495B5F2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序号</w:t>
                  </w:r>
                </w:p>
              </w:tc>
              <w:tc>
                <w:tcPr>
                  <w:tcW w:w="672" w:type="pct"/>
                  <w:vAlign w:val="center"/>
                </w:tcPr>
                <w:p w14:paraId="515EC0F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物质名称</w:t>
                  </w:r>
                </w:p>
              </w:tc>
              <w:tc>
                <w:tcPr>
                  <w:tcW w:w="3889" w:type="pct"/>
                  <w:gridSpan w:val="2"/>
                  <w:vAlign w:val="center"/>
                </w:tcPr>
                <w:p w14:paraId="3B1DEDD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危险性概述</w:t>
                  </w:r>
                </w:p>
              </w:tc>
            </w:tr>
            <w:tr w14:paraId="48B9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5FED0F6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1</w:t>
                  </w:r>
                </w:p>
              </w:tc>
              <w:tc>
                <w:tcPr>
                  <w:tcW w:w="672" w:type="pct"/>
                  <w:vMerge w:val="restart"/>
                  <w:vAlign w:val="center"/>
                </w:tcPr>
                <w:p w14:paraId="2474E89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聚氨酯</w:t>
                  </w:r>
                </w:p>
                <w:p w14:paraId="340CB51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固化剂</w:t>
                  </w:r>
                </w:p>
              </w:tc>
              <w:tc>
                <w:tcPr>
                  <w:tcW w:w="794" w:type="pct"/>
                  <w:vAlign w:val="center"/>
                </w:tcPr>
                <w:p w14:paraId="668BF5F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2267F0E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0892990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急性毒性（吸入）-类别4</w:t>
                  </w:r>
                </w:p>
                <w:p w14:paraId="7B056EB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皮肤腐蚀/刺激-类别2</w:t>
                  </w:r>
                </w:p>
                <w:p w14:paraId="1A75662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严重眼损伤/眼刺激-类别2A</w:t>
                  </w:r>
                </w:p>
                <w:p w14:paraId="24DBDF6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皮肤致敏物-类别1</w:t>
                  </w:r>
                </w:p>
                <w:p w14:paraId="2215221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1FCAB43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生殖毒性-类别2</w:t>
                  </w:r>
                </w:p>
                <w:p w14:paraId="3E714BB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特异性靶器官毒性一次接触（呼吸道刺激）-类别3</w:t>
                  </w:r>
                </w:p>
                <w:p w14:paraId="1B73B21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吸入危害-类别1</w:t>
                  </w:r>
                </w:p>
                <w:p w14:paraId="4083A55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危害水生环境一急性危险-类别3</w:t>
                  </w:r>
                </w:p>
                <w:p w14:paraId="156B196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危害水生环境一长期危险-类别3</w:t>
                  </w:r>
                </w:p>
              </w:tc>
            </w:tr>
            <w:tr w14:paraId="19AAF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0DA80FC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0372AC6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614B993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2C42CC7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眼睛接触、吸入、皮肤接触、食入</w:t>
                  </w:r>
                </w:p>
              </w:tc>
            </w:tr>
            <w:tr w14:paraId="37EF1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4E983A0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40F6661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47B895B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0F54813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吞咽及进入呼吸道可能致命；造成皮肤刺激；可能造成皮肤过敏反应；造成严重眼刺激；吸入有害；可能造成呼吸道刺激；怀疑致癌；怀疑对生育能力或胎儿造成伤害</w:t>
                  </w:r>
                </w:p>
              </w:tc>
            </w:tr>
            <w:tr w14:paraId="1EA97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ABA546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0945B65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5271BC5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7052418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对水生生物有害；对水生生物有害并具有长期持续影响</w:t>
                  </w:r>
                </w:p>
              </w:tc>
            </w:tr>
            <w:tr w14:paraId="40FEF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8" w:type="pct"/>
                  <w:vMerge w:val="continue"/>
                  <w:vAlign w:val="center"/>
                </w:tcPr>
                <w:p w14:paraId="65EEAC9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106064E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5D0C3E1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39B71DC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易燃液体和蒸气</w:t>
                  </w:r>
                </w:p>
              </w:tc>
            </w:tr>
            <w:tr w14:paraId="487C0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1063DBD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2</w:t>
                  </w:r>
                </w:p>
              </w:tc>
              <w:tc>
                <w:tcPr>
                  <w:tcW w:w="672" w:type="pct"/>
                  <w:vMerge w:val="restart"/>
                  <w:vAlign w:val="center"/>
                </w:tcPr>
                <w:p w14:paraId="61F4832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黄色聚氨酯面漆</w:t>
                  </w:r>
                </w:p>
              </w:tc>
              <w:tc>
                <w:tcPr>
                  <w:tcW w:w="794" w:type="pct"/>
                  <w:vAlign w:val="center"/>
                </w:tcPr>
                <w:p w14:paraId="7C58E2D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7902F9E4">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02398B0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急性毒性（口服）-类别4</w:t>
                  </w:r>
                </w:p>
                <w:p w14:paraId="749848D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皮肤腐蚀/刺激-类别2</w:t>
                  </w:r>
                </w:p>
                <w:p w14:paraId="113029A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严重眼损伤/眼刺激-类别2A</w:t>
                  </w:r>
                </w:p>
                <w:p w14:paraId="7FBA63F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皮肤致敏物-类别1</w:t>
                  </w:r>
                </w:p>
                <w:p w14:paraId="2C99464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0F2A0C4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特异性靶器官毒性一次接触（麻醉效应）-类别3</w:t>
                  </w:r>
                </w:p>
                <w:p w14:paraId="5B26BF2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特异性靶器官毒性反复接触-类别2</w:t>
                  </w:r>
                </w:p>
                <w:p w14:paraId="787F816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吸入危害-类别1</w:t>
                  </w:r>
                </w:p>
                <w:p w14:paraId="4E93FE2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危害水生环境一急性危险-类别3</w:t>
                  </w:r>
                </w:p>
                <w:p w14:paraId="1E8AA8D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危害水生环境一长期危险-类别3</w:t>
                  </w:r>
                </w:p>
              </w:tc>
            </w:tr>
            <w:tr w14:paraId="59234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58DFEE6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21CA022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5DC2052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774CD20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眼睛接触、吸入、皮肤接触、食入</w:t>
                  </w:r>
                </w:p>
              </w:tc>
            </w:tr>
            <w:tr w14:paraId="30A46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3A4C462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1B2CC06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1EDF0984">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6D7CC05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吞咽有害；吞咽及进入呼吸道可能致命；造成皮肤刺激；可能造成皮肤过敏</w:t>
                  </w:r>
                </w:p>
                <w:p w14:paraId="65EC2DC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反应；造成严重眼刺激；可能造成昏昏欲睡或眩晕；怀疑致癌</w:t>
                  </w:r>
                </w:p>
              </w:tc>
            </w:tr>
            <w:tr w14:paraId="26E47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F537D6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30FF3D0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4AD4F02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660D4A3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对水生生物有害；对水生生物有害并具有长期持续影响</w:t>
                  </w:r>
                </w:p>
              </w:tc>
            </w:tr>
            <w:tr w14:paraId="5BA3E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6D273F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72B77AD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03F02EC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303E287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易燃液体和蒸气</w:t>
                  </w:r>
                </w:p>
              </w:tc>
            </w:tr>
            <w:tr w14:paraId="2D4F8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390A394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3</w:t>
                  </w:r>
                </w:p>
              </w:tc>
              <w:tc>
                <w:tcPr>
                  <w:tcW w:w="672" w:type="pct"/>
                  <w:vMerge w:val="restart"/>
                  <w:vAlign w:val="center"/>
                </w:tcPr>
                <w:p w14:paraId="5843457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夏用环氧</w:t>
                  </w:r>
                </w:p>
                <w:p w14:paraId="27CD7BD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稀释剂</w:t>
                  </w:r>
                </w:p>
              </w:tc>
              <w:tc>
                <w:tcPr>
                  <w:tcW w:w="794" w:type="pct"/>
                  <w:vAlign w:val="center"/>
                </w:tcPr>
                <w:p w14:paraId="1114C02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641B370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031A281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急性毒性（口服）-类别5</w:t>
                  </w:r>
                </w:p>
                <w:p w14:paraId="1D809E1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急性毒性（皮肤）-类别4</w:t>
                  </w:r>
                </w:p>
                <w:p w14:paraId="6A3DF13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急性毒性（吸入）-类别3</w:t>
                  </w:r>
                </w:p>
                <w:p w14:paraId="655B841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皮肤腐蚀/刺激-类别2</w:t>
                  </w:r>
                </w:p>
                <w:p w14:paraId="02E6B67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严重眼损伤/眼刺激-类别1</w:t>
                  </w:r>
                </w:p>
                <w:p w14:paraId="67F33D8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798C9B1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生殖毒性-类别2</w:t>
                  </w:r>
                </w:p>
                <w:p w14:paraId="2226CEE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特异性靶器官毒性一次接触（呼吸道刺激）-类别3</w:t>
                  </w:r>
                </w:p>
                <w:p w14:paraId="45DC05A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特异性靶器官毒性一次接触（麻醉效应）-类别3</w:t>
                  </w:r>
                </w:p>
                <w:p w14:paraId="24D2999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吸入危害-类别1</w:t>
                  </w:r>
                </w:p>
                <w:p w14:paraId="3E59E96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危害水生环境一急性危险-类别2</w:t>
                  </w:r>
                </w:p>
                <w:p w14:paraId="1A5AED5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危害水生环境一长期危险-类别2</w:t>
                  </w:r>
                </w:p>
              </w:tc>
            </w:tr>
            <w:tr w14:paraId="33C0D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5EFEFD9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77542B9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73199C4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388DD21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眼睛接触、吸入、皮肤接触、食入</w:t>
                  </w:r>
                </w:p>
              </w:tc>
            </w:tr>
            <w:tr w14:paraId="33375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0899912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06624D7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0442FFA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1956D50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吞咽可能有害；吞咽及进入呼吸道可能致命；皮肤接触有害；造成皮肤刺激；造成严重眼损伤；吸入会中毒；可能造成呼吸道刺激；可能造成昏昏欲睡或眩晕；怀疑致癌；怀疑对生育能力或胎儿造成伤害</w:t>
                  </w:r>
                </w:p>
              </w:tc>
            </w:tr>
            <w:tr w14:paraId="72DD0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D18D0F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6C1639B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2BB24B4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71FF86A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对水生生物有毒；对水生生物有毒并具有长期持续影响</w:t>
                  </w:r>
                </w:p>
              </w:tc>
            </w:tr>
            <w:tr w14:paraId="2236B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4836B7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60BDDD3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6EDD4B6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3AA3350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易燃液体和蒸气</w:t>
                  </w:r>
                </w:p>
              </w:tc>
            </w:tr>
            <w:tr w14:paraId="068D0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2790FA7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4</w:t>
                  </w:r>
                </w:p>
              </w:tc>
              <w:tc>
                <w:tcPr>
                  <w:tcW w:w="672" w:type="pct"/>
                  <w:vMerge w:val="restart"/>
                  <w:vAlign w:val="center"/>
                </w:tcPr>
                <w:p w14:paraId="7FE4525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灰色环氧底漆</w:t>
                  </w:r>
                </w:p>
              </w:tc>
              <w:tc>
                <w:tcPr>
                  <w:tcW w:w="794" w:type="pct"/>
                  <w:vAlign w:val="center"/>
                </w:tcPr>
                <w:p w14:paraId="75386BA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108817E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5008DD9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皮肤腐蚀/刺激-类别2</w:t>
                  </w:r>
                </w:p>
                <w:p w14:paraId="7F29D54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严重眼损伤/眼刺激-类别1</w:t>
                  </w:r>
                </w:p>
                <w:p w14:paraId="02E8D6F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皮肤致敏物-类别1</w:t>
                  </w:r>
                </w:p>
                <w:p w14:paraId="398AD20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1DA79D9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生殖毒性-类别1B</w:t>
                  </w:r>
                </w:p>
                <w:p w14:paraId="4255E5A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特异性靶器官毒性反复接触-类别2</w:t>
                  </w:r>
                </w:p>
                <w:p w14:paraId="74570C4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吸入危害-类别1</w:t>
                  </w:r>
                </w:p>
                <w:p w14:paraId="4A7FFCB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危害水生环境一急性危险-类别3</w:t>
                  </w:r>
                </w:p>
                <w:p w14:paraId="2B0F571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危害水生环境一长期危险-类别3</w:t>
                  </w:r>
                </w:p>
              </w:tc>
            </w:tr>
            <w:tr w14:paraId="7B644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A512F8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47988E8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429FC38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061C012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吸入、皮肤接触、食入</w:t>
                  </w:r>
                </w:p>
              </w:tc>
            </w:tr>
            <w:tr w14:paraId="1BC40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508FAFD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335ADBC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3FAD1124">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6D777B5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吞咽及进入呼吸道可能致命；造成皮肤刺激；可能造成皮肤过敏反应；造成严重眼损伤；怀疑致癌；可能对生育能力或胎儿造成伤害</w:t>
                  </w:r>
                </w:p>
              </w:tc>
            </w:tr>
            <w:tr w14:paraId="43F52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4B42FCD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63EB78F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5B8C449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2F2F484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对水生生物有害；对水生生物有害并具有长期持续影响</w:t>
                  </w:r>
                </w:p>
              </w:tc>
            </w:tr>
            <w:tr w14:paraId="1DB21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E26B2D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1DA7D59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4AB9185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39E83E7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易燃液体和蒸汽</w:t>
                  </w:r>
                </w:p>
              </w:tc>
            </w:tr>
            <w:tr w14:paraId="1EFCC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5502D57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5</w:t>
                  </w:r>
                </w:p>
              </w:tc>
              <w:tc>
                <w:tcPr>
                  <w:tcW w:w="672" w:type="pct"/>
                  <w:vMerge w:val="restart"/>
                  <w:vAlign w:val="center"/>
                </w:tcPr>
                <w:p w14:paraId="68C40E0B">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环氧快干固化剂</w:t>
                  </w:r>
                </w:p>
              </w:tc>
              <w:tc>
                <w:tcPr>
                  <w:tcW w:w="794" w:type="pct"/>
                  <w:vAlign w:val="center"/>
                </w:tcPr>
                <w:p w14:paraId="445BB7B4">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0DA349F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4C59267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急性毒性（口服）-类别4</w:t>
                  </w:r>
                </w:p>
                <w:p w14:paraId="1325F46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皮肤腐蚀/刺激-类别1C</w:t>
                  </w:r>
                </w:p>
                <w:p w14:paraId="321EFF3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严重眼损伤/眼刺激-类别1</w:t>
                  </w:r>
                </w:p>
                <w:p w14:paraId="6A30F5D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皮肤致敏物-类别1</w:t>
                  </w:r>
                </w:p>
                <w:p w14:paraId="7353CFF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715DD33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生殖毒性（未出生儿童）-类别2</w:t>
                  </w:r>
                </w:p>
                <w:p w14:paraId="377C4CA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特异性靶器官毒性一次接触（麻醉效应）-类别3</w:t>
                  </w:r>
                </w:p>
                <w:p w14:paraId="3694952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特异性靶器官毒性反复接触-类别2</w:t>
                  </w:r>
                </w:p>
                <w:p w14:paraId="7D29E84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危害水生环境一急性危险-类别3</w:t>
                  </w:r>
                </w:p>
                <w:p w14:paraId="4BBFFA9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危害水生环境一长期危险-类别3</w:t>
                  </w:r>
                </w:p>
              </w:tc>
            </w:tr>
            <w:tr w14:paraId="5225D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2943F3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6C4B0C2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161E442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222A770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眼睛接触、吸入、皮肤接触、食入</w:t>
                  </w:r>
                </w:p>
              </w:tc>
            </w:tr>
            <w:tr w14:paraId="372BB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106E680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76996C84">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76E508F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4B953C0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吞咽有害；造成严重皮肤灼伤和眼损伤；可能造成皮肤过敏反应；怀疑对未出生儿童造成伤害；怀疑致癌；可能造成昏昏欲睡或眩晕；长期或反复接触可能损害器官</w:t>
                  </w:r>
                </w:p>
              </w:tc>
            </w:tr>
            <w:tr w14:paraId="4A681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23AE71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48C15D1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3D1C0F9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7890144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对水生生物有害并具有长期持续影响</w:t>
                  </w:r>
                </w:p>
              </w:tc>
            </w:tr>
            <w:tr w14:paraId="685BE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16DA01D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44868D1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78DFBDB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3A7CFF53">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易燃液体和蒸气</w:t>
                  </w:r>
                </w:p>
              </w:tc>
            </w:tr>
            <w:tr w14:paraId="3C10A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29941E7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6</w:t>
                  </w:r>
                </w:p>
              </w:tc>
              <w:tc>
                <w:tcPr>
                  <w:tcW w:w="672" w:type="pct"/>
                  <w:vMerge w:val="restart"/>
                  <w:vAlign w:val="center"/>
                </w:tcPr>
                <w:p w14:paraId="32617EB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夏用环氧</w:t>
                  </w:r>
                </w:p>
                <w:p w14:paraId="61480BC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稀释剂</w:t>
                  </w:r>
                </w:p>
              </w:tc>
              <w:tc>
                <w:tcPr>
                  <w:tcW w:w="794" w:type="pct"/>
                  <w:vAlign w:val="center"/>
                </w:tcPr>
                <w:p w14:paraId="23F79E97">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危险性类别</w:t>
                  </w:r>
                </w:p>
              </w:tc>
              <w:tc>
                <w:tcPr>
                  <w:tcW w:w="3095" w:type="pct"/>
                  <w:vAlign w:val="center"/>
                </w:tcPr>
                <w:p w14:paraId="6D8BD88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易燃液体-类别3</w:t>
                  </w:r>
                </w:p>
                <w:p w14:paraId="28FE8C6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急性毒性（口服）-类别5</w:t>
                  </w:r>
                </w:p>
                <w:p w14:paraId="485E4CA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急性毒性（皮肤）-类别4</w:t>
                  </w:r>
                </w:p>
                <w:p w14:paraId="64AE68D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急性毒性（吸入）-类别3</w:t>
                  </w:r>
                </w:p>
                <w:p w14:paraId="11F914B1">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皮肤腐蚀/刺激-类别2</w:t>
                  </w:r>
                </w:p>
                <w:p w14:paraId="1B9B853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严重眼损伤/眼刺激-类别1</w:t>
                  </w:r>
                </w:p>
                <w:p w14:paraId="3851A02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致癌性-类别2</w:t>
                  </w:r>
                </w:p>
                <w:p w14:paraId="2E7A2C4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生殖毒性-类别2</w:t>
                  </w:r>
                </w:p>
                <w:p w14:paraId="20022C9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特异性靶器官毒性一次接触（呼吸道刺激）-类别3</w:t>
                  </w:r>
                </w:p>
                <w:p w14:paraId="0E7458B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特异性靶器官毒性一次接触（麻醉效应）-类别3</w:t>
                  </w:r>
                </w:p>
                <w:p w14:paraId="207B69F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吸入危害-类别1</w:t>
                  </w:r>
                </w:p>
                <w:p w14:paraId="399D4FF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危害水生环境一急性危险-类别2</w:t>
                  </w:r>
                </w:p>
                <w:p w14:paraId="6311C71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危害水生环境一长期危险-类别2</w:t>
                  </w:r>
                </w:p>
              </w:tc>
            </w:tr>
            <w:tr w14:paraId="14DD3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585F9E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5FD1321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777A888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侵入途径</w:t>
                  </w:r>
                </w:p>
              </w:tc>
              <w:tc>
                <w:tcPr>
                  <w:tcW w:w="3095" w:type="pct"/>
                  <w:vAlign w:val="center"/>
                </w:tcPr>
                <w:p w14:paraId="32D4480F">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眼睛接触、吸入、皮肤接触、食入</w:t>
                  </w:r>
                </w:p>
              </w:tc>
            </w:tr>
            <w:tr w14:paraId="5E1C3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0597972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238E30D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20F4B679">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健康危害</w:t>
                  </w:r>
                </w:p>
              </w:tc>
              <w:tc>
                <w:tcPr>
                  <w:tcW w:w="3095" w:type="pct"/>
                  <w:vAlign w:val="center"/>
                </w:tcPr>
                <w:p w14:paraId="6708F7E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吞咽可能有害；吞咽及进入呼吸道可能致命；皮肤接触有害；造成皮肤刺激；造成严重眼损伤；吸入会中毒；可能造成呼吸道刺激；可能造成昏昏欲睡或眩晕；怀疑致癌；怀疑对生育能力或胎儿造成伤害</w:t>
                  </w:r>
                </w:p>
              </w:tc>
            </w:tr>
            <w:tr w14:paraId="4707E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7AE6737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75E880EE">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73A72F7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环境危害</w:t>
                  </w:r>
                </w:p>
              </w:tc>
              <w:tc>
                <w:tcPr>
                  <w:tcW w:w="3095" w:type="pct"/>
                  <w:vAlign w:val="center"/>
                </w:tcPr>
                <w:p w14:paraId="6FD4853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对水生生物有毒；对水生生物有毒并具有长期持续影响</w:t>
                  </w:r>
                </w:p>
              </w:tc>
            </w:tr>
            <w:tr w14:paraId="09D84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154137BD">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672" w:type="pct"/>
                  <w:vMerge w:val="continue"/>
                  <w:vAlign w:val="center"/>
                </w:tcPr>
                <w:p w14:paraId="0203FB12">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p>
              </w:tc>
              <w:tc>
                <w:tcPr>
                  <w:tcW w:w="794" w:type="pct"/>
                  <w:vAlign w:val="center"/>
                </w:tcPr>
                <w:p w14:paraId="6DC397DC">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燃爆危险</w:t>
                  </w:r>
                </w:p>
              </w:tc>
              <w:tc>
                <w:tcPr>
                  <w:tcW w:w="3095" w:type="pct"/>
                  <w:vAlign w:val="center"/>
                </w:tcPr>
                <w:p w14:paraId="03A5C738">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易燃液体和蒸气</w:t>
                  </w:r>
                </w:p>
              </w:tc>
            </w:tr>
          </w:tbl>
          <w:p w14:paraId="190CF150">
            <w:pPr>
              <w:pStyle w:val="63"/>
              <w:tabs>
                <w:tab w:val="left" w:pos="3226"/>
              </w:tabs>
              <w:ind w:firstLine="482"/>
              <w:rPr>
                <w:rFonts w:hint="default" w:ascii="Times New Roman" w:hAnsi="Times New Roman" w:cs="Times New Roman"/>
                <w:b/>
                <w:bCs/>
                <w:color w:val="000000" w:themeColor="text1"/>
                <w:highlight w:val="none"/>
                <w:u w:val="single"/>
                <w14:textFill>
                  <w14:solidFill>
                    <w14:schemeClr w14:val="tx1"/>
                  </w14:solidFill>
                </w14:textFill>
              </w:rPr>
            </w:pPr>
            <w:r>
              <w:rPr>
                <w:rFonts w:hint="default" w:ascii="Times New Roman" w:hAnsi="Times New Roman" w:cs="Times New Roman"/>
                <w:b/>
                <w:bCs/>
                <w:color w:val="000000" w:themeColor="text1"/>
                <w:highlight w:val="none"/>
                <w:u w:val="single"/>
                <w14:textFill>
                  <w14:solidFill>
                    <w14:schemeClr w14:val="tx1"/>
                  </w14:solidFill>
                </w14:textFill>
              </w:rPr>
              <w:t>（3）项目油漆用量核算</w:t>
            </w:r>
          </w:p>
          <w:p w14:paraId="2092469B">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本次改扩建对现有废气处理设施进行优化升级，升级后的现有工程喷漆烘干废气、扩建工程喷漆烘干废气一起</w:t>
            </w:r>
            <w:r>
              <w:rPr>
                <w:rFonts w:hint="default" w:ascii="Times New Roman" w:hAnsi="Times New Roman" w:cs="Times New Roman"/>
                <w:color w:val="000000" w:themeColor="text1"/>
                <w:sz w:val="24"/>
                <w:highlight w:val="none"/>
                <w:u w:val="single"/>
                <w14:textFill>
                  <w14:solidFill>
                    <w14:schemeClr w14:val="tx1"/>
                  </w14:solidFill>
                </w14:textFill>
              </w:rPr>
              <w:t>经负压收集通过“水喷淋+干式过滤+活性炭吸附/脱附+催化燃烧+15m高排气筒</w:t>
            </w:r>
            <w:r>
              <w:rPr>
                <w:rFonts w:hint="default" w:ascii="Times New Roman" w:hAnsi="Times New Roman" w:cs="Times New Roman"/>
                <w:color w:val="000000" w:themeColor="text1"/>
                <w:sz w:val="24"/>
                <w:highlight w:val="none"/>
                <w:u w:val="single"/>
                <w14:textFill>
                  <w14:solidFill>
                    <w14:schemeClr w14:val="tx1"/>
                  </w14:solidFill>
                </w14:textFill>
              </w:rPr>
              <w:t>排放，其他均不发生变化。因此本次油漆用量核算包括现有工程和扩建工程两部分。</w:t>
            </w:r>
          </w:p>
          <w:p w14:paraId="26AB7928">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1）现有工程</w:t>
            </w:r>
          </w:p>
          <w:p w14:paraId="1B53CD00">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因现有工程已验收通过，因此油漆量核算依据已批复的原环评报告内容。上漆率≥70%，机器的外观上漆面积 3m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/台，高效节能制砂、制石成套系统80套总共上漆面积约24m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。喷漆采取一次喷涂，一层底漆一层面漆。</w:t>
            </w:r>
          </w:p>
          <w:p w14:paraId="78EC27D4">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底漆：稀释剂=1.25:1，面漆：固化剂=1:1.1。</w:t>
            </w:r>
          </w:p>
          <w:p w14:paraId="16C0DE03">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底漆油漆用量：80台*1遍*4.25cm底漆*3m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/台*10</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*1.03t/m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密度/0.7附着率=1.5t。</w:t>
            </w:r>
          </w:p>
          <w:p w14:paraId="0011E572">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面漆油漆用量：80台*1遍**4cm底漆*3m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/台*10-6*1.09t/m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密度/0.7附着率=1.5t。</w:t>
            </w:r>
          </w:p>
          <w:p w14:paraId="499BFD69">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因此，底漆1.5t/a、面漆1.5t/a、稀释剂1.2t/a、固化剂1.65t/a，总用漆量为5.85t/a。</w:t>
            </w:r>
          </w:p>
          <w:p w14:paraId="00558B6D">
            <w:pPr>
              <w:pStyle w:val="4"/>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bookmarkStart w:id="23" w:name="_Toc17954"/>
            <w:r>
              <w:rPr>
                <w:rFonts w:hint="default" w:ascii="Times New Roman" w:hAnsi="Times New Roman" w:eastAsia="宋体" w:cs="Times New Roman"/>
                <w:color w:val="000000" w:themeColor="text1"/>
                <w:sz w:val="21"/>
                <w:szCs w:val="21"/>
                <w:highlight w:val="none"/>
                <w:u w:val="single"/>
                <w14:textFill>
                  <w14:solidFill>
                    <w14:schemeClr w14:val="tx1"/>
                  </w14:solidFill>
                </w14:textFill>
              </w:rPr>
              <w:t>表2-</w:t>
            </w:r>
            <w:r>
              <w:rPr>
                <w:rFonts w:hint="default" w:ascii="Times New Roman" w:hAnsi="Times New Roman" w:eastAsia="宋体" w:cs="Times New Roman"/>
                <w:color w:val="000000" w:themeColor="text1"/>
                <w:sz w:val="21"/>
                <w:szCs w:val="21"/>
                <w:highlight w:val="none"/>
                <w:u w:val="singl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u w:val="single"/>
                <w14:textFill>
                  <w14:solidFill>
                    <w14:schemeClr w14:val="tx1"/>
                  </w14:solidFill>
                </w14:textFill>
              </w:rPr>
              <w:t xml:space="preserve">  现有工程油漆、固化剂和稀释剂主要成分一览表</w:t>
            </w:r>
            <w:bookmarkEnd w:id="23"/>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
              <w:gridCol w:w="1073"/>
              <w:gridCol w:w="762"/>
              <w:gridCol w:w="1855"/>
              <w:gridCol w:w="1010"/>
              <w:gridCol w:w="1727"/>
              <w:gridCol w:w="1246"/>
            </w:tblGrid>
            <w:tr w14:paraId="0CC9E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6CD29363">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p>
              </w:tc>
              <w:tc>
                <w:tcPr>
                  <w:tcW w:w="627" w:type="pct"/>
                  <w:vAlign w:val="center"/>
                </w:tcPr>
                <w:p w14:paraId="656D1F0C">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4" w:name="_Toc19387"/>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年用漆量</w:t>
                  </w:r>
                  <w:bookmarkEnd w:id="24"/>
                </w:p>
              </w:tc>
              <w:tc>
                <w:tcPr>
                  <w:tcW w:w="1529" w:type="pct"/>
                  <w:gridSpan w:val="2"/>
                  <w:vAlign w:val="center"/>
                </w:tcPr>
                <w:p w14:paraId="264CEEBF">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5" w:name="_Toc4831"/>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固体组分</w:t>
                  </w:r>
                  <w:bookmarkEnd w:id="25"/>
                </w:p>
              </w:tc>
              <w:tc>
                <w:tcPr>
                  <w:tcW w:w="2327" w:type="pct"/>
                  <w:gridSpan w:val="3"/>
                  <w:vAlign w:val="center"/>
                </w:tcPr>
                <w:p w14:paraId="706FD1A0">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6" w:name="_Toc6682"/>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挥发分</w:t>
                  </w:r>
                  <w:bookmarkEnd w:id="26"/>
                </w:p>
              </w:tc>
            </w:tr>
            <w:tr w14:paraId="5735E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38F5D0AD">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7" w:name="_Toc297"/>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底漆</w:t>
                  </w:r>
                  <w:bookmarkEnd w:id="27"/>
                </w:p>
              </w:tc>
              <w:tc>
                <w:tcPr>
                  <w:tcW w:w="627" w:type="pct"/>
                  <w:vAlign w:val="center"/>
                </w:tcPr>
                <w:p w14:paraId="49535783">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8" w:name="_Toc23976"/>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1.5t</w:t>
                  </w:r>
                  <w:bookmarkEnd w:id="28"/>
                </w:p>
              </w:tc>
              <w:tc>
                <w:tcPr>
                  <w:tcW w:w="445" w:type="pct"/>
                  <w:vAlign w:val="center"/>
                </w:tcPr>
                <w:p w14:paraId="1D510E30">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29" w:name="_Toc15190"/>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55%</w:t>
                  </w:r>
                  <w:bookmarkEnd w:id="29"/>
                </w:p>
              </w:tc>
              <w:tc>
                <w:tcPr>
                  <w:tcW w:w="1084" w:type="pct"/>
                  <w:vAlign w:val="center"/>
                </w:tcPr>
                <w:p w14:paraId="499A19DC">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0" w:name="_Toc4156"/>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聚氨酯树脂55%</w:t>
                  </w:r>
                  <w:bookmarkEnd w:id="30"/>
                </w:p>
              </w:tc>
              <w:tc>
                <w:tcPr>
                  <w:tcW w:w="590" w:type="pct"/>
                  <w:vAlign w:val="center"/>
                </w:tcPr>
                <w:p w14:paraId="37DEDF45">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1" w:name="_Toc12653"/>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45%</w:t>
                  </w:r>
                  <w:bookmarkEnd w:id="31"/>
                </w:p>
              </w:tc>
              <w:tc>
                <w:tcPr>
                  <w:tcW w:w="1009" w:type="pct"/>
                  <w:vAlign w:val="center"/>
                </w:tcPr>
                <w:p w14:paraId="7C282571">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2" w:name="_Toc28958"/>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（VOCs：40%）</w:t>
                  </w:r>
                  <w:bookmarkEnd w:id="32"/>
                </w:p>
                <w:p w14:paraId="2B3155EA">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3" w:name="_Toc32623"/>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助剂1%、乙酸丁酯8%、颜料16%、防锈颜料15%</w:t>
                  </w:r>
                  <w:bookmarkEnd w:id="33"/>
                </w:p>
              </w:tc>
              <w:tc>
                <w:tcPr>
                  <w:tcW w:w="728" w:type="pct"/>
                  <w:vAlign w:val="center"/>
                </w:tcPr>
                <w:p w14:paraId="1EB9C136">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4" w:name="_Toc1728"/>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二甲苯5%</w:t>
                  </w:r>
                  <w:bookmarkEnd w:id="34"/>
                </w:p>
              </w:tc>
            </w:tr>
            <w:tr w14:paraId="0519C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4A0D12C7">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5" w:name="_Toc19119"/>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面漆</w:t>
                  </w:r>
                  <w:bookmarkEnd w:id="35"/>
                </w:p>
              </w:tc>
              <w:tc>
                <w:tcPr>
                  <w:tcW w:w="627" w:type="pct"/>
                  <w:vAlign w:val="center"/>
                </w:tcPr>
                <w:p w14:paraId="7296420B">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6" w:name="_Toc24362"/>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1.5t</w:t>
                  </w:r>
                  <w:bookmarkEnd w:id="36"/>
                </w:p>
              </w:tc>
              <w:tc>
                <w:tcPr>
                  <w:tcW w:w="445" w:type="pct"/>
                  <w:vAlign w:val="center"/>
                </w:tcPr>
                <w:p w14:paraId="09709377">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7" w:name="_Toc30482"/>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65%</w:t>
                  </w:r>
                  <w:bookmarkEnd w:id="37"/>
                </w:p>
              </w:tc>
              <w:tc>
                <w:tcPr>
                  <w:tcW w:w="1084" w:type="pct"/>
                  <w:vAlign w:val="center"/>
                </w:tcPr>
                <w:p w14:paraId="3ED5EC43">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8" w:name="_Toc3264"/>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面漆树脂65%</w:t>
                  </w:r>
                  <w:bookmarkEnd w:id="38"/>
                </w:p>
              </w:tc>
              <w:tc>
                <w:tcPr>
                  <w:tcW w:w="590" w:type="pct"/>
                  <w:vAlign w:val="center"/>
                </w:tcPr>
                <w:p w14:paraId="2FD58A60">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39" w:name="_Toc23347"/>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35%</w:t>
                  </w:r>
                  <w:bookmarkEnd w:id="39"/>
                </w:p>
              </w:tc>
              <w:tc>
                <w:tcPr>
                  <w:tcW w:w="1009" w:type="pct"/>
                  <w:vAlign w:val="center"/>
                </w:tcPr>
                <w:p w14:paraId="2E2A5C05">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0" w:name="_Toc2643"/>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（VOCs：30%）</w:t>
                  </w:r>
                  <w:bookmarkEnd w:id="40"/>
                </w:p>
                <w:p w14:paraId="2A18E8CF">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1" w:name="_Toc4794"/>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助剂1%、乙酸丁酯9%、颜料20%</w:t>
                  </w:r>
                  <w:bookmarkEnd w:id="41"/>
                </w:p>
              </w:tc>
              <w:tc>
                <w:tcPr>
                  <w:tcW w:w="728" w:type="pct"/>
                  <w:vAlign w:val="center"/>
                </w:tcPr>
                <w:p w14:paraId="18A8217F">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2" w:name="_Toc18585"/>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二甲苯5%</w:t>
                  </w:r>
                  <w:bookmarkEnd w:id="42"/>
                </w:p>
              </w:tc>
            </w:tr>
            <w:tr w14:paraId="15C21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48C8F9D1">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3" w:name="_Toc18545"/>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固化剂</w:t>
                  </w:r>
                  <w:bookmarkEnd w:id="43"/>
                </w:p>
              </w:tc>
              <w:tc>
                <w:tcPr>
                  <w:tcW w:w="627" w:type="pct"/>
                  <w:vAlign w:val="center"/>
                </w:tcPr>
                <w:p w14:paraId="61249FCA">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4" w:name="_Toc30846"/>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1.65t</w:t>
                  </w:r>
                  <w:bookmarkEnd w:id="44"/>
                </w:p>
              </w:tc>
              <w:tc>
                <w:tcPr>
                  <w:tcW w:w="445" w:type="pct"/>
                  <w:vAlign w:val="center"/>
                </w:tcPr>
                <w:p w14:paraId="5512F28E">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5" w:name="_Toc24012"/>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40%</w:t>
                  </w:r>
                  <w:bookmarkEnd w:id="45"/>
                </w:p>
              </w:tc>
              <w:tc>
                <w:tcPr>
                  <w:tcW w:w="1084" w:type="pct"/>
                  <w:vAlign w:val="center"/>
                </w:tcPr>
                <w:p w14:paraId="52F01A2F">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6" w:name="_Toc239"/>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HD异氰化酸酯40%</w:t>
                  </w:r>
                  <w:bookmarkEnd w:id="46"/>
                </w:p>
              </w:tc>
              <w:tc>
                <w:tcPr>
                  <w:tcW w:w="590" w:type="pct"/>
                  <w:vAlign w:val="center"/>
                </w:tcPr>
                <w:p w14:paraId="60296CCA">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7" w:name="_Toc17421"/>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60%</w:t>
                  </w:r>
                  <w:bookmarkEnd w:id="47"/>
                </w:p>
              </w:tc>
              <w:tc>
                <w:tcPr>
                  <w:tcW w:w="1009" w:type="pct"/>
                  <w:vAlign w:val="center"/>
                </w:tcPr>
                <w:p w14:paraId="303F7AEB">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8" w:name="_Toc17423"/>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（VOCs：45%）</w:t>
                  </w:r>
                  <w:bookmarkEnd w:id="48"/>
                </w:p>
                <w:p w14:paraId="0E5B54AD">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49" w:name="_Toc15144"/>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，醋酸乙酯 25%、醋酸丁酯20%</w:t>
                  </w:r>
                  <w:bookmarkEnd w:id="49"/>
                </w:p>
              </w:tc>
              <w:tc>
                <w:tcPr>
                  <w:tcW w:w="728" w:type="pct"/>
                  <w:vAlign w:val="center"/>
                </w:tcPr>
                <w:p w14:paraId="60CC3960">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0" w:name="_Toc14066"/>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二甲苯15%</w:t>
                  </w:r>
                  <w:bookmarkEnd w:id="50"/>
                </w:p>
              </w:tc>
            </w:tr>
            <w:tr w14:paraId="447DA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 w:type="pct"/>
                  <w:vAlign w:val="center"/>
                </w:tcPr>
                <w:p w14:paraId="51259451">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1" w:name="_Toc3337"/>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稀释剂</w:t>
                  </w:r>
                  <w:bookmarkEnd w:id="51"/>
                </w:p>
              </w:tc>
              <w:tc>
                <w:tcPr>
                  <w:tcW w:w="627" w:type="pct"/>
                  <w:vAlign w:val="center"/>
                </w:tcPr>
                <w:p w14:paraId="29B7D233">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2" w:name="_Toc10321"/>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1.2t</w:t>
                  </w:r>
                  <w:bookmarkEnd w:id="52"/>
                </w:p>
              </w:tc>
              <w:tc>
                <w:tcPr>
                  <w:tcW w:w="445" w:type="pct"/>
                  <w:vAlign w:val="center"/>
                </w:tcPr>
                <w:p w14:paraId="0C07C227">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3" w:name="_Toc20477"/>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w:t>
                  </w:r>
                  <w:bookmarkEnd w:id="53"/>
                </w:p>
              </w:tc>
              <w:tc>
                <w:tcPr>
                  <w:tcW w:w="1084" w:type="pct"/>
                  <w:vAlign w:val="center"/>
                </w:tcPr>
                <w:p w14:paraId="20AFFA8E">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4" w:name="_Toc13791"/>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w:t>
                  </w:r>
                  <w:bookmarkEnd w:id="54"/>
                </w:p>
              </w:tc>
              <w:tc>
                <w:tcPr>
                  <w:tcW w:w="590" w:type="pct"/>
                  <w:vAlign w:val="center"/>
                </w:tcPr>
                <w:p w14:paraId="1A2BEFC2">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5" w:name="_Toc20794"/>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100%</w:t>
                  </w:r>
                  <w:bookmarkEnd w:id="55"/>
                </w:p>
              </w:tc>
              <w:tc>
                <w:tcPr>
                  <w:tcW w:w="1009" w:type="pct"/>
                  <w:vAlign w:val="center"/>
                </w:tcPr>
                <w:p w14:paraId="2299949C">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6" w:name="_Toc11544"/>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（VOCs：85%）</w:t>
                  </w:r>
                  <w:bookmarkEnd w:id="56"/>
                </w:p>
                <w:p w14:paraId="78E6E1CF">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7" w:name="_Toc4321"/>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甲基异丁酮27.5%、其它有机溶剂57.50%</w:t>
                  </w:r>
                  <w:bookmarkEnd w:id="57"/>
                </w:p>
              </w:tc>
              <w:tc>
                <w:tcPr>
                  <w:tcW w:w="728" w:type="pct"/>
                  <w:vAlign w:val="center"/>
                </w:tcPr>
                <w:p w14:paraId="4C71CACB">
                  <w:pPr>
                    <w:pStyle w:val="4"/>
                    <w:spacing w:before="0" w:after="0" w:line="240" w:lineRule="auto"/>
                    <w:ind w:left="0" w:firstLine="0"/>
                    <w:jc w:val="cente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pPr>
                  <w:bookmarkStart w:id="58" w:name="_Toc15305"/>
                  <w:r>
                    <w:rPr>
                      <w:rFonts w:hint="default" w:ascii="Times New Roman" w:hAnsi="Times New Roman" w:eastAsia="宋体" w:cs="Times New Roman"/>
                      <w:b w:val="0"/>
                      <w:bCs w:val="0"/>
                      <w:color w:val="000000" w:themeColor="text1"/>
                      <w:sz w:val="21"/>
                      <w:szCs w:val="21"/>
                      <w:highlight w:val="none"/>
                      <w:u w:val="single"/>
                      <w14:textFill>
                        <w14:solidFill>
                          <w14:schemeClr w14:val="tx1"/>
                        </w14:solidFill>
                      </w14:textFill>
                    </w:rPr>
                    <w:t>二甲苯15%</w:t>
                  </w:r>
                  <w:bookmarkEnd w:id="58"/>
                </w:p>
              </w:tc>
            </w:tr>
          </w:tbl>
          <w:p w14:paraId="24566E5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2）改扩建工程</w:t>
            </w:r>
          </w:p>
          <w:p w14:paraId="22D50037">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①油漆组份分析</w:t>
            </w:r>
          </w:p>
          <w:p w14:paraId="6075FF51">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根据建设单体提供的各种油漆MSDS报告中成分及理化特性中的VOCs含量、密度参数进行统计，整理出本项目各类油漆各组分情况，具体见下表。</w:t>
            </w:r>
          </w:p>
          <w:p w14:paraId="713BD170">
            <w:pPr>
              <w:pStyle w:val="97"/>
              <w:rPr>
                <w:rFonts w:hint="default" w:ascii="Times New Roman" w:hAnsi="Times New Roman" w:cs="Times New Roman"/>
                <w:snapToGrid w:val="0"/>
                <w:color w:val="000000" w:themeColor="text1"/>
                <w:highlight w:val="none"/>
                <w14:textFill>
                  <w14:solidFill>
                    <w14:schemeClr w14:val="tx1"/>
                  </w14:solidFill>
                </w14:textFill>
              </w:rPr>
            </w:pPr>
          </w:p>
          <w:p w14:paraId="29D0AF41">
            <w:pPr>
              <w:pStyle w:val="97"/>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表2-</w:t>
            </w:r>
            <w:r>
              <w:rPr>
                <w:rFonts w:hint="default" w:ascii="Times New Roman" w:hAnsi="Times New Roman" w:cs="Times New Roman"/>
                <w:snapToGrid w:val="0"/>
                <w:color w:val="000000" w:themeColor="text1"/>
                <w:highlight w:val="none"/>
                <w:lang w:val="en-US" w:eastAsia="zh-CN"/>
                <w14:textFill>
                  <w14:solidFill>
                    <w14:schemeClr w14:val="tx1"/>
                  </w14:solidFill>
                </w14:textFill>
              </w:rPr>
              <w:t>7</w:t>
            </w:r>
            <w:r>
              <w:rPr>
                <w:rFonts w:hint="default" w:ascii="Times New Roman" w:hAnsi="Times New Roman" w:cs="Times New Roman"/>
                <w:snapToGrid w:val="0"/>
                <w:color w:val="000000" w:themeColor="text1"/>
                <w:highlight w:val="none"/>
                <w14:textFill>
                  <w14:solidFill>
                    <w14:schemeClr w14:val="tx1"/>
                  </w14:solidFill>
                </w14:textFill>
              </w:rPr>
              <w:t xml:space="preserve">  项目油漆各组份统计一览表</w:t>
            </w:r>
          </w:p>
          <w:tbl>
            <w:tblPr>
              <w:tblStyle w:val="3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8"/>
              <w:gridCol w:w="825"/>
              <w:gridCol w:w="42"/>
              <w:gridCol w:w="50"/>
              <w:gridCol w:w="346"/>
              <w:gridCol w:w="65"/>
              <w:gridCol w:w="15"/>
              <w:gridCol w:w="37"/>
              <w:gridCol w:w="3331"/>
              <w:gridCol w:w="12"/>
              <w:gridCol w:w="16"/>
              <w:gridCol w:w="9"/>
              <w:gridCol w:w="1232"/>
              <w:gridCol w:w="8"/>
              <w:gridCol w:w="13"/>
              <w:gridCol w:w="822"/>
              <w:gridCol w:w="9"/>
              <w:gridCol w:w="890"/>
            </w:tblGrid>
            <w:tr w14:paraId="6C4AC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01" w:type="dxa"/>
                  <w:vMerge w:val="restart"/>
                  <w:vAlign w:val="center"/>
                </w:tcPr>
                <w:p w14:paraId="45E00882">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物料</w:t>
                  </w:r>
                </w:p>
              </w:tc>
              <w:tc>
                <w:tcPr>
                  <w:tcW w:w="5986" w:type="dxa"/>
                  <w:gridSpan w:val="15"/>
                  <w:vAlign w:val="center"/>
                </w:tcPr>
                <w:p w14:paraId="3EB3506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MSDS报告内容</w:t>
                  </w:r>
                </w:p>
              </w:tc>
              <w:tc>
                <w:tcPr>
                  <w:tcW w:w="1735" w:type="dxa"/>
                  <w:gridSpan w:val="3"/>
                  <w:vAlign w:val="center"/>
                </w:tcPr>
                <w:p w14:paraId="0020257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本次评价取值（%）</w:t>
                  </w:r>
                </w:p>
              </w:tc>
            </w:tr>
            <w:tr w14:paraId="5D9C3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01" w:type="dxa"/>
                  <w:vMerge w:val="continue"/>
                  <w:vAlign w:val="center"/>
                </w:tcPr>
                <w:p w14:paraId="0B4E894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10" w:type="dxa"/>
                  <w:gridSpan w:val="4"/>
                  <w:vAlign w:val="center"/>
                </w:tcPr>
                <w:p w14:paraId="5EF41C2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固体份</w:t>
                  </w:r>
                </w:p>
              </w:tc>
              <w:tc>
                <w:tcPr>
                  <w:tcW w:w="5176" w:type="dxa"/>
                  <w:gridSpan w:val="11"/>
                  <w:vAlign w:val="center"/>
                </w:tcPr>
                <w:p w14:paraId="55E94EC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w:t>
                  </w:r>
                </w:p>
              </w:tc>
              <w:tc>
                <w:tcPr>
                  <w:tcW w:w="840" w:type="dxa"/>
                  <w:gridSpan w:val="2"/>
                  <w:vAlign w:val="center"/>
                </w:tcPr>
                <w:p w14:paraId="727FE1C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固体</w:t>
                  </w:r>
                </w:p>
                <w:p w14:paraId="2F04DBE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占比</w:t>
                  </w:r>
                </w:p>
              </w:tc>
              <w:tc>
                <w:tcPr>
                  <w:tcW w:w="895" w:type="dxa"/>
                  <w:vAlign w:val="center"/>
                </w:tcPr>
                <w:p w14:paraId="6874A2F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挥发性占比</w:t>
                  </w:r>
                </w:p>
              </w:tc>
            </w:tr>
            <w:tr w14:paraId="6E0FD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restart"/>
                  <w:vAlign w:val="center"/>
                </w:tcPr>
                <w:p w14:paraId="4E131ED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聚氨酯固化剂</w:t>
                  </w:r>
                </w:p>
              </w:tc>
              <w:tc>
                <w:tcPr>
                  <w:tcW w:w="810" w:type="dxa"/>
                  <w:gridSpan w:val="4"/>
                  <w:vMerge w:val="restart"/>
                  <w:vAlign w:val="center"/>
                </w:tcPr>
                <w:p w14:paraId="4E929F4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其他≥72.4%</w:t>
                  </w:r>
                </w:p>
              </w:tc>
              <w:tc>
                <w:tcPr>
                  <w:tcW w:w="5176" w:type="dxa"/>
                  <w:gridSpan w:val="11"/>
                  <w:tcBorders>
                    <w:bottom w:val="single" w:color="auto" w:sz="4" w:space="0"/>
                  </w:tcBorders>
                  <w:vAlign w:val="center"/>
                </w:tcPr>
                <w:p w14:paraId="69F6499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挥发份：26.6~32.6%</w:t>
                  </w:r>
                </w:p>
              </w:tc>
              <w:tc>
                <w:tcPr>
                  <w:tcW w:w="840" w:type="dxa"/>
                  <w:gridSpan w:val="2"/>
                  <w:vMerge w:val="restart"/>
                  <w:vAlign w:val="center"/>
                </w:tcPr>
                <w:p w14:paraId="28718F3B">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72.4</w:t>
                  </w:r>
                </w:p>
              </w:tc>
              <w:tc>
                <w:tcPr>
                  <w:tcW w:w="895" w:type="dxa"/>
                  <w:vMerge w:val="restart"/>
                  <w:vAlign w:val="center"/>
                </w:tcPr>
                <w:p w14:paraId="2790837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28.6</w:t>
                  </w:r>
                </w:p>
              </w:tc>
            </w:tr>
            <w:tr w14:paraId="2ABF4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continue"/>
                  <w:vAlign w:val="center"/>
                </w:tcPr>
                <w:p w14:paraId="716E09B9">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10" w:type="dxa"/>
                  <w:gridSpan w:val="4"/>
                  <w:vMerge w:val="continue"/>
                  <w:vAlign w:val="center"/>
                </w:tcPr>
                <w:p w14:paraId="2577E83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56" w:type="dxa"/>
                  <w:gridSpan w:val="4"/>
                  <w:tcBorders>
                    <w:top w:val="single" w:color="auto" w:sz="4" w:space="0"/>
                    <w:right w:val="single" w:color="auto" w:sz="4" w:space="0"/>
                  </w:tcBorders>
                  <w:vAlign w:val="center"/>
                </w:tcPr>
                <w:p w14:paraId="0414FA2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451" w:type="dxa"/>
                  <w:gridSpan w:val="3"/>
                  <w:tcBorders>
                    <w:top w:val="single" w:color="auto" w:sz="4" w:space="0"/>
                    <w:left w:val="single" w:color="auto" w:sz="4" w:space="0"/>
                  </w:tcBorders>
                  <w:vAlign w:val="center"/>
                </w:tcPr>
                <w:p w14:paraId="33CE428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乙酸丁酯10~16、1,2,4-三甲苯≤6.6、1,3,5-三甲苯≤3、邻乙基甲苯≤3、3-乙基甲苯≤3、异丙（基）苯＜1</w:t>
                  </w:r>
                </w:p>
              </w:tc>
              <w:tc>
                <w:tcPr>
                  <w:tcW w:w="1269" w:type="dxa"/>
                  <w:gridSpan w:val="4"/>
                  <w:vAlign w:val="center"/>
                </w:tcPr>
                <w:p w14:paraId="0ADBE98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VOC含量：303g/L</w:t>
                  </w:r>
                </w:p>
                <w:p w14:paraId="319A8C6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密度：1.06g/cm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0" w:type="dxa"/>
                  <w:gridSpan w:val="2"/>
                  <w:vMerge w:val="continue"/>
                  <w:vAlign w:val="center"/>
                </w:tcPr>
                <w:p w14:paraId="1109134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95" w:type="dxa"/>
                  <w:vMerge w:val="continue"/>
                  <w:vAlign w:val="center"/>
                </w:tcPr>
                <w:p w14:paraId="243545B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53A24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restart"/>
                  <w:vAlign w:val="center"/>
                </w:tcPr>
                <w:p w14:paraId="0651553B">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黄色聚氨酯面漆</w:t>
                  </w:r>
                </w:p>
              </w:tc>
              <w:tc>
                <w:tcPr>
                  <w:tcW w:w="810" w:type="dxa"/>
                  <w:gridSpan w:val="4"/>
                  <w:vMerge w:val="restart"/>
                  <w:vAlign w:val="center"/>
                </w:tcPr>
                <w:p w14:paraId="793F5F0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其他≥72.6%</w:t>
                  </w:r>
                </w:p>
              </w:tc>
              <w:tc>
                <w:tcPr>
                  <w:tcW w:w="5176" w:type="dxa"/>
                  <w:gridSpan w:val="11"/>
                  <w:tcBorders>
                    <w:bottom w:val="single" w:color="auto" w:sz="4" w:space="0"/>
                  </w:tcBorders>
                  <w:vAlign w:val="center"/>
                </w:tcPr>
                <w:p w14:paraId="0F2D319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挥发份：≤27.4%</w:t>
                  </w:r>
                </w:p>
              </w:tc>
              <w:tc>
                <w:tcPr>
                  <w:tcW w:w="840" w:type="dxa"/>
                  <w:gridSpan w:val="2"/>
                  <w:vMerge w:val="restart"/>
                  <w:vAlign w:val="center"/>
                </w:tcPr>
                <w:p w14:paraId="53D326C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72.6</w:t>
                  </w:r>
                </w:p>
              </w:tc>
              <w:tc>
                <w:tcPr>
                  <w:tcW w:w="895" w:type="dxa"/>
                  <w:vMerge w:val="restart"/>
                  <w:vAlign w:val="center"/>
                </w:tcPr>
                <w:p w14:paraId="66833C04">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27.4</w:t>
                  </w:r>
                </w:p>
              </w:tc>
            </w:tr>
            <w:tr w14:paraId="04ADD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continue"/>
                  <w:vAlign w:val="center"/>
                </w:tcPr>
                <w:p w14:paraId="1393A43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10" w:type="dxa"/>
                  <w:gridSpan w:val="4"/>
                  <w:vMerge w:val="continue"/>
                  <w:vAlign w:val="center"/>
                </w:tcPr>
                <w:p w14:paraId="220F762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56" w:type="dxa"/>
                  <w:gridSpan w:val="4"/>
                  <w:tcBorders>
                    <w:top w:val="single" w:color="auto" w:sz="4" w:space="0"/>
                  </w:tcBorders>
                  <w:vAlign w:val="center"/>
                </w:tcPr>
                <w:p w14:paraId="4635458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451" w:type="dxa"/>
                  <w:gridSpan w:val="3"/>
                  <w:tcBorders>
                    <w:top w:val="single" w:color="auto" w:sz="4" w:space="0"/>
                  </w:tcBorders>
                  <w:vAlign w:val="center"/>
                </w:tcPr>
                <w:p w14:paraId="04BA550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乙酸丁酯≤10、二甲苯异构体混合物≤10、乙酸-1-甲氧基-2-丙基酯≤5、2,4-戊二酮≤5、乙基苯≤2.1</w:t>
                  </w:r>
                </w:p>
              </w:tc>
              <w:tc>
                <w:tcPr>
                  <w:tcW w:w="1269" w:type="dxa"/>
                  <w:gridSpan w:val="4"/>
                  <w:vAlign w:val="center"/>
                </w:tcPr>
                <w:p w14:paraId="7B5D558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VOC含量：353g/L</w:t>
                  </w:r>
                </w:p>
                <w:p w14:paraId="46A6B6F1">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面漆密度：1.29g/cm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0" w:type="dxa"/>
                  <w:gridSpan w:val="2"/>
                  <w:vMerge w:val="continue"/>
                  <w:vAlign w:val="center"/>
                </w:tcPr>
                <w:p w14:paraId="04C51D7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95" w:type="dxa"/>
                  <w:vMerge w:val="continue"/>
                  <w:vAlign w:val="center"/>
                </w:tcPr>
                <w:p w14:paraId="1908E109">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505CB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restart"/>
                  <w:vAlign w:val="center"/>
                </w:tcPr>
                <w:p w14:paraId="1C5A9C74">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夏用面漆</w:t>
                  </w:r>
                </w:p>
                <w:p w14:paraId="5B30DD3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稀释剂</w:t>
                  </w:r>
                </w:p>
              </w:tc>
              <w:tc>
                <w:tcPr>
                  <w:tcW w:w="810" w:type="dxa"/>
                  <w:gridSpan w:val="4"/>
                  <w:vMerge w:val="restart"/>
                  <w:vAlign w:val="center"/>
                </w:tcPr>
                <w:p w14:paraId="7CA26C7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5176" w:type="dxa"/>
                  <w:gridSpan w:val="11"/>
                  <w:tcBorders>
                    <w:top w:val="single" w:color="auto" w:sz="4" w:space="0"/>
                  </w:tcBorders>
                  <w:vAlign w:val="center"/>
                </w:tcPr>
                <w:p w14:paraId="7E286FB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挥发份：100%</w:t>
                  </w:r>
                </w:p>
              </w:tc>
              <w:tc>
                <w:tcPr>
                  <w:tcW w:w="840" w:type="dxa"/>
                  <w:gridSpan w:val="2"/>
                  <w:vMerge w:val="restart"/>
                  <w:vAlign w:val="center"/>
                </w:tcPr>
                <w:p w14:paraId="7051BE6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895" w:type="dxa"/>
                  <w:vMerge w:val="restart"/>
                  <w:vAlign w:val="center"/>
                </w:tcPr>
                <w:p w14:paraId="0B016A6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100.0</w:t>
                  </w:r>
                </w:p>
              </w:tc>
            </w:tr>
            <w:tr w14:paraId="4C4D6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1" w:type="dxa"/>
                  <w:vMerge w:val="continue"/>
                  <w:vAlign w:val="center"/>
                </w:tcPr>
                <w:p w14:paraId="0F66237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10" w:type="dxa"/>
                  <w:gridSpan w:val="4"/>
                  <w:vMerge w:val="continue"/>
                  <w:vAlign w:val="center"/>
                </w:tcPr>
                <w:p w14:paraId="5C6BF688">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19" w:type="dxa"/>
                  <w:gridSpan w:val="3"/>
                  <w:tcBorders>
                    <w:top w:val="single" w:color="auto" w:sz="4" w:space="0"/>
                  </w:tcBorders>
                  <w:vAlign w:val="center"/>
                </w:tcPr>
                <w:p w14:paraId="34DD98D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497" w:type="dxa"/>
                  <w:gridSpan w:val="5"/>
                  <w:tcBorders>
                    <w:top w:val="single" w:color="auto" w:sz="4" w:space="0"/>
                  </w:tcBorders>
                  <w:vAlign w:val="center"/>
                </w:tcPr>
                <w:p w14:paraId="343E783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乙酸丁酯25-50、1,2,4-三甲苯10-25、乙酸-1-甲氧基-2-丙基酯≤10、轻芳烃溶剂石脑油（石油）≤10、邻乙基甲苯≤10、3-乙基甲苯≤10、1,3,5-三甲苯≤10、异丙（基）苯＜1</w:t>
                  </w:r>
                </w:p>
              </w:tc>
              <w:tc>
                <w:tcPr>
                  <w:tcW w:w="1260" w:type="dxa"/>
                  <w:gridSpan w:val="3"/>
                  <w:vAlign w:val="center"/>
                </w:tcPr>
                <w:p w14:paraId="5B9650E2">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VOC含量：898g/L</w:t>
                  </w:r>
                </w:p>
                <w:p w14:paraId="30A9E0D1">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密度：0.9g/cm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0" w:type="dxa"/>
                  <w:gridSpan w:val="2"/>
                  <w:vMerge w:val="continue"/>
                  <w:vAlign w:val="center"/>
                </w:tcPr>
                <w:p w14:paraId="00228F4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95" w:type="dxa"/>
                  <w:vMerge w:val="continue"/>
                  <w:vAlign w:val="center"/>
                </w:tcPr>
                <w:p w14:paraId="48DFC9C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42966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07" w:type="dxa"/>
                  <w:vMerge w:val="restart"/>
                  <w:vAlign w:val="center"/>
                </w:tcPr>
                <w:p w14:paraId="5199DE58">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灰色环氧底漆</w:t>
                  </w:r>
                </w:p>
              </w:tc>
              <w:tc>
                <w:tcPr>
                  <w:tcW w:w="760" w:type="dxa"/>
                  <w:gridSpan w:val="3"/>
                  <w:vMerge w:val="restart"/>
                  <w:vAlign w:val="center"/>
                </w:tcPr>
                <w:p w14:paraId="16F3B73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其他≥72.3%</w:t>
                  </w:r>
                </w:p>
              </w:tc>
              <w:tc>
                <w:tcPr>
                  <w:tcW w:w="5213" w:type="dxa"/>
                  <w:gridSpan w:val="11"/>
                  <w:tcBorders>
                    <w:bottom w:val="single" w:color="auto" w:sz="4" w:space="0"/>
                  </w:tcBorders>
                  <w:vAlign w:val="center"/>
                </w:tcPr>
                <w:p w14:paraId="1EC8FD12">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挥发份≤27.7%；</w:t>
                  </w:r>
                </w:p>
              </w:tc>
              <w:tc>
                <w:tcPr>
                  <w:tcW w:w="844" w:type="dxa"/>
                  <w:gridSpan w:val="2"/>
                  <w:vMerge w:val="restart"/>
                  <w:vAlign w:val="center"/>
                </w:tcPr>
                <w:p w14:paraId="1FA15C94">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72.3</w:t>
                  </w:r>
                </w:p>
              </w:tc>
              <w:tc>
                <w:tcPr>
                  <w:tcW w:w="898" w:type="dxa"/>
                  <w:gridSpan w:val="2"/>
                  <w:vMerge w:val="restart"/>
                  <w:vAlign w:val="center"/>
                </w:tcPr>
                <w:p w14:paraId="0C6966B8">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27.7</w:t>
                  </w:r>
                </w:p>
              </w:tc>
            </w:tr>
            <w:tr w14:paraId="27280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07" w:type="dxa"/>
                  <w:vMerge w:val="continue"/>
                  <w:vAlign w:val="center"/>
                </w:tcPr>
                <w:p w14:paraId="1F4F9B62">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760" w:type="dxa"/>
                  <w:gridSpan w:val="3"/>
                  <w:vMerge w:val="continue"/>
                  <w:vAlign w:val="center"/>
                </w:tcPr>
                <w:p w14:paraId="4C08B2C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55" w:type="dxa"/>
                  <w:gridSpan w:val="3"/>
                  <w:tcBorders>
                    <w:top w:val="single" w:color="auto" w:sz="4" w:space="0"/>
                    <w:right w:val="single" w:color="auto" w:sz="4" w:space="0"/>
                  </w:tcBorders>
                  <w:vAlign w:val="center"/>
                </w:tcPr>
                <w:p w14:paraId="04BE59C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486" w:type="dxa"/>
                  <w:gridSpan w:val="4"/>
                  <w:tcBorders>
                    <w:top w:val="single" w:color="auto" w:sz="4" w:space="0"/>
                    <w:left w:val="single" w:color="auto" w:sz="4" w:space="0"/>
                  </w:tcBorders>
                  <w:vAlign w:val="center"/>
                </w:tcPr>
                <w:p w14:paraId="1586DB99">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乙基苯≤10、乙酸丁酯≤10、1-丁醇≤8.7、间-二甲苯≤3、二甲苯异构体混合物≤1.9、1,2,4-三甲苯≤1.9、邻二甲苯≤1.8、邻乙基甲苯≤1</w:t>
                  </w:r>
                </w:p>
              </w:tc>
              <w:tc>
                <w:tcPr>
                  <w:tcW w:w="1272" w:type="dxa"/>
                  <w:gridSpan w:val="4"/>
                  <w:vAlign w:val="center"/>
                </w:tcPr>
                <w:p w14:paraId="71A327D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VOC含量：399g/L</w:t>
                  </w:r>
                </w:p>
                <w:p w14:paraId="1B3B4F59">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底漆密度：1.44g/cm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4" w:type="dxa"/>
                  <w:gridSpan w:val="2"/>
                  <w:vMerge w:val="continue"/>
                  <w:vAlign w:val="center"/>
                </w:tcPr>
                <w:p w14:paraId="4D5FDBA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98" w:type="dxa"/>
                  <w:gridSpan w:val="2"/>
                  <w:vMerge w:val="continue"/>
                  <w:vAlign w:val="center"/>
                </w:tcPr>
                <w:p w14:paraId="717B6D9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116E4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07" w:type="dxa"/>
                  <w:vMerge w:val="restart"/>
                  <w:vAlign w:val="center"/>
                </w:tcPr>
                <w:p w14:paraId="45FBB742">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环氧快干固化剂</w:t>
                  </w:r>
                </w:p>
              </w:tc>
              <w:tc>
                <w:tcPr>
                  <w:tcW w:w="760" w:type="dxa"/>
                  <w:gridSpan w:val="3"/>
                  <w:vMerge w:val="restart"/>
                  <w:vAlign w:val="center"/>
                </w:tcPr>
                <w:p w14:paraId="64B2389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其他≥60.1%</w:t>
                  </w:r>
                </w:p>
              </w:tc>
              <w:tc>
                <w:tcPr>
                  <w:tcW w:w="5213" w:type="dxa"/>
                  <w:gridSpan w:val="11"/>
                  <w:tcBorders>
                    <w:bottom w:val="single" w:color="auto" w:sz="4" w:space="0"/>
                  </w:tcBorders>
                  <w:vAlign w:val="center"/>
                </w:tcPr>
                <w:p w14:paraId="2431DBF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挥发份：35.9~45.9%</w:t>
                  </w:r>
                </w:p>
              </w:tc>
              <w:tc>
                <w:tcPr>
                  <w:tcW w:w="844" w:type="dxa"/>
                  <w:gridSpan w:val="2"/>
                  <w:vMerge w:val="restart"/>
                  <w:vAlign w:val="center"/>
                </w:tcPr>
                <w:p w14:paraId="27D1384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60.1</w:t>
                  </w:r>
                </w:p>
              </w:tc>
              <w:tc>
                <w:tcPr>
                  <w:tcW w:w="898" w:type="dxa"/>
                  <w:gridSpan w:val="2"/>
                  <w:vMerge w:val="restart"/>
                  <w:vAlign w:val="center"/>
                </w:tcPr>
                <w:p w14:paraId="2069AF1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39.9</w:t>
                  </w:r>
                </w:p>
              </w:tc>
            </w:tr>
            <w:tr w14:paraId="791AA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07" w:type="dxa"/>
                  <w:vMerge w:val="continue"/>
                  <w:vAlign w:val="center"/>
                </w:tcPr>
                <w:p w14:paraId="4DEF41C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760" w:type="dxa"/>
                  <w:gridSpan w:val="3"/>
                  <w:vMerge w:val="continue"/>
                  <w:vAlign w:val="center"/>
                </w:tcPr>
                <w:p w14:paraId="6EBB2431">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55" w:type="dxa"/>
                  <w:gridSpan w:val="3"/>
                  <w:tcBorders>
                    <w:top w:val="single" w:color="auto" w:sz="4" w:space="0"/>
                    <w:right w:val="single" w:color="auto" w:sz="4" w:space="0"/>
                  </w:tcBorders>
                  <w:vAlign w:val="center"/>
                </w:tcPr>
                <w:p w14:paraId="1C684EC9">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486" w:type="dxa"/>
                  <w:gridSpan w:val="4"/>
                  <w:tcBorders>
                    <w:top w:val="single" w:color="auto" w:sz="4" w:space="0"/>
                    <w:left w:val="single" w:color="auto" w:sz="4" w:space="0"/>
                  </w:tcBorders>
                  <w:vAlign w:val="center"/>
                </w:tcPr>
                <w:p w14:paraId="68A3268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苄醇10~18、1-丁醇≤12、乙酸丁酯≤10、2,4,6-三[（二甲氨基）甲基]苯酚≤2.2、5-氨基-1,3,3-三甲基环己甲胺≤1.8、三乙烯四胺≤1.6、二甲苯异构体混合物≤1、1,3-间苯二甲胺≤1、三乙四胺＜1、乙基苯≤0.3</w:t>
                  </w:r>
                </w:p>
              </w:tc>
              <w:tc>
                <w:tcPr>
                  <w:tcW w:w="1272" w:type="dxa"/>
                  <w:gridSpan w:val="4"/>
                  <w:vAlign w:val="center"/>
                </w:tcPr>
                <w:p w14:paraId="560AA52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VOC含量：387g/L</w:t>
                  </w:r>
                </w:p>
                <w:p w14:paraId="716F5A6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固化剂密度：0.97 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4" w:type="dxa"/>
                  <w:gridSpan w:val="2"/>
                  <w:vMerge w:val="continue"/>
                  <w:vAlign w:val="center"/>
                </w:tcPr>
                <w:p w14:paraId="57ED18CF">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98" w:type="dxa"/>
                  <w:gridSpan w:val="2"/>
                  <w:vMerge w:val="continue"/>
                  <w:vAlign w:val="center"/>
                </w:tcPr>
                <w:p w14:paraId="3DDD97F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79197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gridSpan w:val="2"/>
                  <w:vMerge w:val="restart"/>
                  <w:vAlign w:val="center"/>
                </w:tcPr>
                <w:p w14:paraId="0F157C6B">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夏用环氧稀释剂</w:t>
                  </w:r>
                </w:p>
              </w:tc>
              <w:tc>
                <w:tcPr>
                  <w:tcW w:w="709" w:type="dxa"/>
                  <w:vMerge w:val="restart"/>
                  <w:vAlign w:val="center"/>
                </w:tcPr>
                <w:p w14:paraId="4652C14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5248" w:type="dxa"/>
                  <w:gridSpan w:val="11"/>
                  <w:tcBorders>
                    <w:top w:val="single" w:color="auto" w:sz="4" w:space="0"/>
                  </w:tcBorders>
                  <w:vAlign w:val="center"/>
                </w:tcPr>
                <w:p w14:paraId="6FCE9C28">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挥发份：100%</w:t>
                  </w:r>
                </w:p>
              </w:tc>
              <w:tc>
                <w:tcPr>
                  <w:tcW w:w="849" w:type="dxa"/>
                  <w:gridSpan w:val="3"/>
                  <w:vMerge w:val="restart"/>
                  <w:vAlign w:val="center"/>
                </w:tcPr>
                <w:p w14:paraId="6449AE0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901" w:type="dxa"/>
                  <w:gridSpan w:val="2"/>
                  <w:vMerge w:val="restart"/>
                  <w:vAlign w:val="center"/>
                </w:tcPr>
                <w:p w14:paraId="79A63A5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100.0</w:t>
                  </w:r>
                </w:p>
              </w:tc>
            </w:tr>
            <w:tr w14:paraId="198B5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gridSpan w:val="2"/>
                  <w:vMerge w:val="continue"/>
                  <w:vAlign w:val="center"/>
                </w:tcPr>
                <w:p w14:paraId="6158A43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709" w:type="dxa"/>
                  <w:vMerge w:val="continue"/>
                  <w:vAlign w:val="center"/>
                </w:tcPr>
                <w:p w14:paraId="20A16A70">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34" w:type="dxa"/>
                  <w:gridSpan w:val="3"/>
                  <w:tcBorders>
                    <w:top w:val="single" w:color="auto" w:sz="4" w:space="0"/>
                  </w:tcBorders>
                  <w:vAlign w:val="center"/>
                </w:tcPr>
                <w:p w14:paraId="6B7D1FF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其中</w:t>
                  </w:r>
                </w:p>
              </w:tc>
              <w:tc>
                <w:tcPr>
                  <w:tcW w:w="3538" w:type="dxa"/>
                  <w:gridSpan w:val="4"/>
                  <w:tcBorders>
                    <w:top w:val="single" w:color="auto" w:sz="4" w:space="0"/>
                  </w:tcBorders>
                  <w:vAlign w:val="center"/>
                </w:tcPr>
                <w:p w14:paraId="3A3FC89B">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1,2,4-三甲苯10-23、乙酸丁酯10-25、2-丁氧基乙醇10-17、1-丁醇10-17、轻芳烃溶剂石脑油（石油）≤10、邻乙基甲苯≤10、3-乙基甲苯≤10、1,3,5-三甲苯≤10、异丙（基）苯≤1.4、萘≤0.3</w:t>
                  </w:r>
                </w:p>
              </w:tc>
              <w:tc>
                <w:tcPr>
                  <w:tcW w:w="1276" w:type="dxa"/>
                  <w:gridSpan w:val="4"/>
                  <w:vAlign w:val="center"/>
                </w:tcPr>
                <w:p w14:paraId="3BFFAA9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VOC含量：863g/L</w:t>
                  </w:r>
                </w:p>
                <w:p w14:paraId="5A412DB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密度：0.86 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849" w:type="dxa"/>
                  <w:gridSpan w:val="3"/>
                  <w:vMerge w:val="continue"/>
                  <w:vAlign w:val="center"/>
                </w:tcPr>
                <w:p w14:paraId="11848A4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901" w:type="dxa"/>
                  <w:gridSpan w:val="2"/>
                  <w:vMerge w:val="continue"/>
                  <w:vAlign w:val="center"/>
                </w:tcPr>
                <w:p w14:paraId="24BA48E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r>
          </w:tbl>
          <w:p w14:paraId="11A3E415">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②油漆密度及固体组份核算</w:t>
            </w:r>
          </w:p>
          <w:p w14:paraId="5771A3D0">
            <w:pPr>
              <w:spacing w:line="360" w:lineRule="auto"/>
              <w:ind w:firstLine="482"/>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根据建设单位提供的资料，本项目需要进行喷漆的产品为设备结构件，使用油性漆需要用色漆、稀释剂、固化剂进行调配；油性漆具体调配的比例及混合后的涂料密度见下表。</w:t>
            </w:r>
          </w:p>
          <w:p w14:paraId="3DA64684">
            <w:pPr>
              <w:pStyle w:val="97"/>
              <w:rPr>
                <w:rFonts w:hint="default" w:ascii="Times New Roman" w:hAnsi="Times New Roman" w:cs="Times New Roman"/>
                <w:snapToGrid w:val="0"/>
                <w:color w:val="000000" w:themeColor="text1"/>
                <w:highlight w:val="none"/>
                <w14:textFill>
                  <w14:solidFill>
                    <w14:schemeClr w14:val="tx1"/>
                  </w14:solidFill>
                </w14:textFill>
              </w:rPr>
            </w:pPr>
          </w:p>
          <w:p w14:paraId="2EEC1BA2">
            <w:pPr>
              <w:pStyle w:val="97"/>
              <w:rPr>
                <w:rFonts w:hint="default" w:ascii="Times New Roman" w:hAnsi="Times New Roman" w:cs="Times New Roman"/>
                <w:snapToGrid w:val="0"/>
                <w:color w:val="000000" w:themeColor="text1"/>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t>表2-</w:t>
            </w:r>
            <w:r>
              <w:rPr>
                <w:rFonts w:hint="default" w:ascii="Times New Roman" w:hAnsi="Times New Roman" w:cs="Times New Roman"/>
                <w:snapToGrid w:val="0"/>
                <w:color w:val="000000" w:themeColor="text1"/>
                <w:highlight w:val="none"/>
                <w:lang w:val="en-US" w:eastAsia="zh-CN"/>
                <w14:textFill>
                  <w14:solidFill>
                    <w14:schemeClr w14:val="tx1"/>
                  </w14:solidFill>
                </w14:textFill>
              </w:rPr>
              <w:t>8</w:t>
            </w:r>
            <w:r>
              <w:rPr>
                <w:rFonts w:hint="default" w:ascii="Times New Roman" w:hAnsi="Times New Roman" w:cs="Times New Roman"/>
                <w:snapToGrid w:val="0"/>
                <w:color w:val="000000" w:themeColor="text1"/>
                <w:highlight w:val="none"/>
                <w14:textFill>
                  <w14:solidFill>
                    <w14:schemeClr w14:val="tx1"/>
                  </w14:solidFill>
                </w14:textFill>
              </w:rPr>
              <w:t xml:space="preserve">    油漆密度核算一览表</w:t>
            </w:r>
          </w:p>
          <w:tbl>
            <w:tblPr>
              <w:tblStyle w:val="34"/>
              <w:tblpPr w:leftFromText="180" w:rightFromText="180" w:vertAnchor="text"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431"/>
              <w:gridCol w:w="2279"/>
              <w:gridCol w:w="692"/>
              <w:gridCol w:w="1140"/>
              <w:gridCol w:w="856"/>
              <w:gridCol w:w="1140"/>
              <w:gridCol w:w="1066"/>
            </w:tblGrid>
            <w:tr w14:paraId="7CFB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1" w:type="pct"/>
                  <w:gridSpan w:val="3"/>
                  <w:vMerge w:val="restart"/>
                  <w:vAlign w:val="center"/>
                </w:tcPr>
                <w:p w14:paraId="32ECDBF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油漆类型</w:t>
                  </w:r>
                </w:p>
              </w:tc>
              <w:tc>
                <w:tcPr>
                  <w:tcW w:w="404" w:type="pct"/>
                  <w:vMerge w:val="restart"/>
                  <w:vAlign w:val="center"/>
                </w:tcPr>
                <w:p w14:paraId="43C02CF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比例</w:t>
                  </w:r>
                </w:p>
              </w:tc>
              <w:tc>
                <w:tcPr>
                  <w:tcW w:w="1166" w:type="pct"/>
                  <w:gridSpan w:val="2"/>
                  <w:vAlign w:val="center"/>
                </w:tcPr>
                <w:p w14:paraId="3E8AA29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MSDS报告内容</w:t>
                  </w:r>
                </w:p>
              </w:tc>
              <w:tc>
                <w:tcPr>
                  <w:tcW w:w="666" w:type="pct"/>
                  <w:vMerge w:val="restart"/>
                  <w:vAlign w:val="center"/>
                </w:tcPr>
                <w:p w14:paraId="678CCCB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混合后涂料密度（g/cm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tc>
              <w:tc>
                <w:tcPr>
                  <w:tcW w:w="622" w:type="pct"/>
                  <w:vMerge w:val="restart"/>
                  <w:vAlign w:val="center"/>
                </w:tcPr>
                <w:p w14:paraId="1F96F32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混合后涂料固体组份（%）</w:t>
                  </w:r>
                </w:p>
              </w:tc>
            </w:tr>
            <w:tr w14:paraId="24319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41" w:type="pct"/>
                  <w:gridSpan w:val="3"/>
                  <w:vMerge w:val="continue"/>
                  <w:vAlign w:val="center"/>
                </w:tcPr>
                <w:p w14:paraId="4859D7E9">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404" w:type="pct"/>
                  <w:vMerge w:val="continue"/>
                  <w:vAlign w:val="center"/>
                </w:tcPr>
                <w:p w14:paraId="39BCCF4D">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66" w:type="pct"/>
                  <w:vAlign w:val="center"/>
                </w:tcPr>
                <w:p w14:paraId="1B6985A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密度</w:t>
                  </w:r>
                </w:p>
                <w:p w14:paraId="3A3938D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（g/cm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p>
              </w:tc>
              <w:tc>
                <w:tcPr>
                  <w:tcW w:w="500" w:type="pct"/>
                  <w:vAlign w:val="center"/>
                </w:tcPr>
                <w:p w14:paraId="4046CD3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固体份</w:t>
                  </w:r>
                </w:p>
                <w:p w14:paraId="773BEF3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666" w:type="pct"/>
                  <w:vMerge w:val="continue"/>
                  <w:vAlign w:val="center"/>
                </w:tcPr>
                <w:p w14:paraId="51557702">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22" w:type="pct"/>
                  <w:vMerge w:val="continue"/>
                  <w:vAlign w:val="center"/>
                </w:tcPr>
                <w:p w14:paraId="56C37A24">
                  <w:pPr>
                    <w:pStyle w:val="31"/>
                    <w:ind w:left="0"/>
                    <w:rPr>
                      <w:rFonts w:hint="default" w:ascii="Times New Roman" w:hAnsi="Times New Roman" w:cs="Times New Roman"/>
                      <w:color w:val="000000" w:themeColor="text1"/>
                      <w:highlight w:val="none"/>
                      <w14:textFill>
                        <w14:solidFill>
                          <w14:schemeClr w14:val="tx1"/>
                        </w14:solidFill>
                      </w14:textFill>
                    </w:rPr>
                  </w:pPr>
                </w:p>
              </w:tc>
            </w:tr>
            <w:tr w14:paraId="3747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8" w:type="pct"/>
                  <w:vMerge w:val="restart"/>
                  <w:vAlign w:val="center"/>
                </w:tcPr>
                <w:p w14:paraId="1EAAE0DD">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通用设备结构件</w:t>
                  </w:r>
                </w:p>
              </w:tc>
              <w:tc>
                <w:tcPr>
                  <w:tcW w:w="252" w:type="pct"/>
                  <w:vMerge w:val="restart"/>
                  <w:vAlign w:val="center"/>
                </w:tcPr>
                <w:p w14:paraId="1C812DF1">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底漆</w:t>
                  </w:r>
                </w:p>
              </w:tc>
              <w:tc>
                <w:tcPr>
                  <w:tcW w:w="1330" w:type="pct"/>
                  <w:vAlign w:val="center"/>
                </w:tcPr>
                <w:p w14:paraId="22CC3E1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灰色环氧底漆</w:t>
                  </w:r>
                </w:p>
              </w:tc>
              <w:tc>
                <w:tcPr>
                  <w:tcW w:w="404" w:type="pct"/>
                  <w:vAlign w:val="center"/>
                </w:tcPr>
                <w:p w14:paraId="10777D8F">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w:t>
                  </w:r>
                </w:p>
              </w:tc>
              <w:tc>
                <w:tcPr>
                  <w:tcW w:w="666" w:type="pct"/>
                  <w:vAlign w:val="center"/>
                </w:tcPr>
                <w:p w14:paraId="53189211">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1.44</w:t>
                  </w:r>
                </w:p>
              </w:tc>
              <w:tc>
                <w:tcPr>
                  <w:tcW w:w="500" w:type="pct"/>
                  <w:vAlign w:val="center"/>
                </w:tcPr>
                <w:p w14:paraId="70A87C13">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72.3</w:t>
                  </w:r>
                </w:p>
              </w:tc>
              <w:tc>
                <w:tcPr>
                  <w:tcW w:w="666" w:type="pct"/>
                  <w:vMerge w:val="restart"/>
                  <w:vAlign w:val="center"/>
                </w:tcPr>
                <w:p w14:paraId="0AACE64F">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1.33</w:t>
                  </w:r>
                </w:p>
              </w:tc>
              <w:tc>
                <w:tcPr>
                  <w:tcW w:w="622" w:type="pct"/>
                  <w:vMerge w:val="restart"/>
                  <w:vAlign w:val="center"/>
                </w:tcPr>
                <w:p w14:paraId="260C0C7D">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61.27</w:t>
                  </w:r>
                </w:p>
              </w:tc>
            </w:tr>
            <w:tr w14:paraId="14F9A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558" w:type="pct"/>
                  <w:vMerge w:val="continue"/>
                  <w:vAlign w:val="center"/>
                </w:tcPr>
                <w:p w14:paraId="5AD73A43">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252" w:type="pct"/>
                  <w:vMerge w:val="continue"/>
                  <w:vAlign w:val="center"/>
                </w:tcPr>
                <w:p w14:paraId="0DE2FCDA">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1330" w:type="pct"/>
                  <w:vAlign w:val="center"/>
                </w:tcPr>
                <w:p w14:paraId="580AE8DF">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夏用环氧稀释剂</w:t>
                  </w:r>
                </w:p>
              </w:tc>
              <w:tc>
                <w:tcPr>
                  <w:tcW w:w="404" w:type="pct"/>
                  <w:vAlign w:val="center"/>
                </w:tcPr>
                <w:p w14:paraId="35949D43">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2.5</w:t>
                  </w:r>
                </w:p>
              </w:tc>
              <w:tc>
                <w:tcPr>
                  <w:tcW w:w="666" w:type="pct"/>
                  <w:vAlign w:val="center"/>
                </w:tcPr>
                <w:p w14:paraId="2161DC8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0.86</w:t>
                  </w:r>
                </w:p>
              </w:tc>
              <w:tc>
                <w:tcPr>
                  <w:tcW w:w="500" w:type="pct"/>
                  <w:vAlign w:val="center"/>
                </w:tcPr>
                <w:p w14:paraId="4256AC1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666" w:type="pct"/>
                  <w:vMerge w:val="continue"/>
                  <w:vAlign w:val="center"/>
                </w:tcPr>
                <w:p w14:paraId="1214E844">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22" w:type="pct"/>
                  <w:vMerge w:val="continue"/>
                  <w:vAlign w:val="center"/>
                </w:tcPr>
                <w:p w14:paraId="471F407C">
                  <w:pPr>
                    <w:pStyle w:val="31"/>
                    <w:ind w:left="0"/>
                    <w:rPr>
                      <w:rFonts w:hint="default" w:ascii="Times New Roman" w:hAnsi="Times New Roman" w:cs="Times New Roman"/>
                      <w:color w:val="000000" w:themeColor="text1"/>
                      <w:highlight w:val="none"/>
                      <w14:textFill>
                        <w14:solidFill>
                          <w14:schemeClr w14:val="tx1"/>
                        </w14:solidFill>
                      </w14:textFill>
                    </w:rPr>
                  </w:pPr>
                </w:p>
              </w:tc>
            </w:tr>
            <w:tr w14:paraId="3C074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8" w:type="pct"/>
                  <w:vMerge w:val="continue"/>
                  <w:vAlign w:val="center"/>
                </w:tcPr>
                <w:p w14:paraId="49C84B5C">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252" w:type="pct"/>
                  <w:vMerge w:val="continue"/>
                  <w:vAlign w:val="center"/>
                </w:tcPr>
                <w:p w14:paraId="23FFEF73">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1330" w:type="pct"/>
                  <w:vAlign w:val="center"/>
                </w:tcPr>
                <w:p w14:paraId="2C91DF40">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环氧快干固化</w:t>
                  </w:r>
                </w:p>
              </w:tc>
              <w:tc>
                <w:tcPr>
                  <w:tcW w:w="404" w:type="pct"/>
                  <w:vAlign w:val="center"/>
                </w:tcPr>
                <w:p w14:paraId="732E773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666" w:type="pct"/>
                  <w:vAlign w:val="center"/>
                </w:tcPr>
                <w:p w14:paraId="58A1229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0.97</w:t>
                  </w:r>
                </w:p>
              </w:tc>
              <w:tc>
                <w:tcPr>
                  <w:tcW w:w="500" w:type="pct"/>
                  <w:vAlign w:val="center"/>
                </w:tcPr>
                <w:p w14:paraId="38B90D57">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60.1</w:t>
                  </w:r>
                </w:p>
              </w:tc>
              <w:tc>
                <w:tcPr>
                  <w:tcW w:w="666" w:type="pct"/>
                  <w:vMerge w:val="continue"/>
                  <w:vAlign w:val="center"/>
                </w:tcPr>
                <w:p w14:paraId="2E41A091">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22" w:type="pct"/>
                  <w:vMerge w:val="continue"/>
                  <w:vAlign w:val="center"/>
                </w:tcPr>
                <w:p w14:paraId="26B9ABFA">
                  <w:pPr>
                    <w:pStyle w:val="31"/>
                    <w:ind w:left="0"/>
                    <w:rPr>
                      <w:rFonts w:hint="default" w:ascii="Times New Roman" w:hAnsi="Times New Roman" w:cs="Times New Roman"/>
                      <w:color w:val="000000" w:themeColor="text1"/>
                      <w:highlight w:val="none"/>
                      <w14:textFill>
                        <w14:solidFill>
                          <w14:schemeClr w14:val="tx1"/>
                        </w14:solidFill>
                      </w14:textFill>
                    </w:rPr>
                  </w:pPr>
                </w:p>
              </w:tc>
            </w:tr>
            <w:tr w14:paraId="10D37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8" w:type="pct"/>
                  <w:vMerge w:val="continue"/>
                  <w:vAlign w:val="center"/>
                </w:tcPr>
                <w:p w14:paraId="7F0994FA">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252" w:type="pct"/>
                  <w:vMerge w:val="restart"/>
                  <w:vAlign w:val="center"/>
                </w:tcPr>
                <w:p w14:paraId="2DA52B10">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黄面漆</w:t>
                  </w:r>
                </w:p>
              </w:tc>
              <w:tc>
                <w:tcPr>
                  <w:tcW w:w="1330" w:type="pct"/>
                  <w:vAlign w:val="center"/>
                </w:tcPr>
                <w:p w14:paraId="3471E28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黄色聚氨酯面漆</w:t>
                  </w:r>
                </w:p>
              </w:tc>
              <w:tc>
                <w:tcPr>
                  <w:tcW w:w="404" w:type="pct"/>
                  <w:vAlign w:val="center"/>
                </w:tcPr>
                <w:p w14:paraId="100CF79E">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5.5</w:t>
                  </w:r>
                </w:p>
              </w:tc>
              <w:tc>
                <w:tcPr>
                  <w:tcW w:w="666" w:type="pct"/>
                  <w:vAlign w:val="center"/>
                </w:tcPr>
                <w:p w14:paraId="5C842B4F">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1.29</w:t>
                  </w:r>
                </w:p>
              </w:tc>
              <w:tc>
                <w:tcPr>
                  <w:tcW w:w="500" w:type="pct"/>
                  <w:vAlign w:val="center"/>
                </w:tcPr>
                <w:p w14:paraId="557E576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72.6</w:t>
                  </w:r>
                </w:p>
              </w:tc>
              <w:tc>
                <w:tcPr>
                  <w:tcW w:w="666" w:type="pct"/>
                  <w:vMerge w:val="restart"/>
                  <w:vAlign w:val="center"/>
                </w:tcPr>
                <w:p w14:paraId="6AEC0539">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1.23</w:t>
                  </w:r>
                </w:p>
              </w:tc>
              <w:tc>
                <w:tcPr>
                  <w:tcW w:w="622" w:type="pct"/>
                  <w:vMerge w:val="restart"/>
                  <w:vAlign w:val="center"/>
                </w:tcPr>
                <w:p w14:paraId="7B9150BE">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67.87</w:t>
                  </w:r>
                </w:p>
              </w:tc>
            </w:tr>
            <w:tr w14:paraId="7E701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558" w:type="pct"/>
                  <w:vMerge w:val="continue"/>
                  <w:vAlign w:val="center"/>
                </w:tcPr>
                <w:p w14:paraId="1CB1D9ED">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252" w:type="pct"/>
                  <w:vMerge w:val="continue"/>
                  <w:vAlign w:val="center"/>
                </w:tcPr>
                <w:p w14:paraId="6E021497">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1330" w:type="pct"/>
                  <w:vAlign w:val="center"/>
                </w:tcPr>
                <w:p w14:paraId="60DCC73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夏用面漆稀释剂</w:t>
                  </w:r>
                </w:p>
              </w:tc>
              <w:tc>
                <w:tcPr>
                  <w:tcW w:w="404" w:type="pct"/>
                  <w:vAlign w:val="center"/>
                </w:tcPr>
                <w:p w14:paraId="10D435A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0.45</w:t>
                  </w:r>
                </w:p>
              </w:tc>
              <w:tc>
                <w:tcPr>
                  <w:tcW w:w="666" w:type="pct"/>
                  <w:vAlign w:val="center"/>
                </w:tcPr>
                <w:p w14:paraId="381BB80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0.9</w:t>
                  </w:r>
                </w:p>
              </w:tc>
              <w:tc>
                <w:tcPr>
                  <w:tcW w:w="500" w:type="pct"/>
                  <w:vAlign w:val="center"/>
                </w:tcPr>
                <w:p w14:paraId="1A702616">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666" w:type="pct"/>
                  <w:vMerge w:val="continue"/>
                  <w:vAlign w:val="center"/>
                </w:tcPr>
                <w:p w14:paraId="5B71D449">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22" w:type="pct"/>
                  <w:vMerge w:val="continue"/>
                  <w:vAlign w:val="center"/>
                </w:tcPr>
                <w:p w14:paraId="38E9DA7F">
                  <w:pPr>
                    <w:pStyle w:val="31"/>
                    <w:ind w:left="0"/>
                    <w:rPr>
                      <w:rFonts w:hint="default" w:ascii="Times New Roman" w:hAnsi="Times New Roman" w:cs="Times New Roman"/>
                      <w:color w:val="000000" w:themeColor="text1"/>
                      <w:highlight w:val="none"/>
                      <w14:textFill>
                        <w14:solidFill>
                          <w14:schemeClr w14:val="tx1"/>
                        </w14:solidFill>
                      </w14:textFill>
                    </w:rPr>
                  </w:pPr>
                </w:p>
              </w:tc>
            </w:tr>
            <w:tr w14:paraId="0E391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8" w:type="pct"/>
                  <w:vMerge w:val="continue"/>
                  <w:vAlign w:val="center"/>
                </w:tcPr>
                <w:p w14:paraId="2DF48166">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252" w:type="pct"/>
                  <w:vMerge w:val="continue"/>
                  <w:vAlign w:val="center"/>
                </w:tcPr>
                <w:p w14:paraId="1814E453">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1330" w:type="pct"/>
                  <w:vAlign w:val="center"/>
                </w:tcPr>
                <w:p w14:paraId="7487F574">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聚氨酯固化剂</w:t>
                  </w:r>
                </w:p>
              </w:tc>
              <w:tc>
                <w:tcPr>
                  <w:tcW w:w="404" w:type="pct"/>
                  <w:vAlign w:val="center"/>
                </w:tcPr>
                <w:p w14:paraId="1EE050E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666" w:type="pct"/>
                  <w:vAlign w:val="center"/>
                </w:tcPr>
                <w:p w14:paraId="1E8CD888">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1.06</w:t>
                  </w:r>
                </w:p>
              </w:tc>
              <w:tc>
                <w:tcPr>
                  <w:tcW w:w="500" w:type="pct"/>
                  <w:vAlign w:val="center"/>
                </w:tcPr>
                <w:p w14:paraId="1C5BA3BD">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72.4</w:t>
                  </w:r>
                </w:p>
              </w:tc>
              <w:tc>
                <w:tcPr>
                  <w:tcW w:w="666" w:type="pct"/>
                  <w:vMerge w:val="continue"/>
                  <w:vAlign w:val="center"/>
                </w:tcPr>
                <w:p w14:paraId="02A54455">
                  <w:pPr>
                    <w:pStyle w:val="31"/>
                    <w:ind w:left="0"/>
                    <w:rPr>
                      <w:rFonts w:hint="default" w:ascii="Times New Roman" w:hAnsi="Times New Roman" w:cs="Times New Roman"/>
                      <w:color w:val="000000" w:themeColor="text1"/>
                      <w:highlight w:val="none"/>
                      <w14:textFill>
                        <w14:solidFill>
                          <w14:schemeClr w14:val="tx1"/>
                        </w14:solidFill>
                      </w14:textFill>
                    </w:rPr>
                  </w:pPr>
                </w:p>
              </w:tc>
              <w:tc>
                <w:tcPr>
                  <w:tcW w:w="622" w:type="pct"/>
                  <w:vMerge w:val="continue"/>
                  <w:vAlign w:val="center"/>
                </w:tcPr>
                <w:p w14:paraId="193B2CF9">
                  <w:pPr>
                    <w:pStyle w:val="31"/>
                    <w:ind w:left="0"/>
                    <w:rPr>
                      <w:rFonts w:hint="default" w:ascii="Times New Roman" w:hAnsi="Times New Roman" w:cs="Times New Roman"/>
                      <w:color w:val="000000" w:themeColor="text1"/>
                      <w:highlight w:val="none"/>
                      <w14:textFill>
                        <w14:solidFill>
                          <w14:schemeClr w14:val="tx1"/>
                        </w14:solidFill>
                      </w14:textFill>
                    </w:rPr>
                  </w:pPr>
                </w:p>
              </w:tc>
            </w:tr>
          </w:tbl>
          <w:p w14:paraId="3FA1EFC1">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③油漆用量核实</w:t>
            </w:r>
          </w:p>
          <w:p w14:paraId="427788FE">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人工使用喷枪对抛丸后的工件进行喷漆，上漆率根据《涂装工艺与设备》（化学工业出版社），喷涂距离在15~20cm喷漆工序的漆料附着率为65%~75%，本次评价按平均附着率70%计。根据业主提供的喷涂产品产量基础数据，结构件中的需整体进行喷涂，单个（5~10t，本次取8t/个）喷涂面积为15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/个，油性漆喷涂产品共需喷漆3遍总膜厚100μm，包括2遍底漆（厚度约30μm/遍）及1遍面漆（厚度约40μm/遍）。</w:t>
            </w:r>
          </w:p>
          <w:p w14:paraId="7ECF55DB">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因此，本项目喷涂面积、数量、涂层厚度、附着率等参数如下：</w:t>
            </w:r>
          </w:p>
          <w:p w14:paraId="731DADBD">
            <w:pPr>
              <w:adjustRightInd w:val="0"/>
              <w:snapToGrid w:val="0"/>
              <w:ind w:firstLine="482"/>
              <w:jc w:val="center"/>
              <w:rPr>
                <w:rFonts w:hint="default" w:ascii="Times New Roman" w:hAnsi="Times New Roman" w:eastAsia="黑体" w:cs="Times New Roman"/>
                <w:color w:val="000000" w:themeColor="text1"/>
                <w:highlight w:val="none"/>
                <w14:textFill>
                  <w14:solidFill>
                    <w14:schemeClr w14:val="tx1"/>
                  </w14:solidFill>
                </w14:textFill>
              </w:rPr>
            </w:pPr>
            <w:r>
              <w:rPr>
                <w:rFonts w:hint="default" w:ascii="Times New Roman" w:hAnsi="Times New Roman" w:cs="Times New Roman"/>
                <w:b/>
                <w:snapToGrid w:val="0"/>
                <w:color w:val="000000" w:themeColor="text1"/>
                <w:highlight w:val="none"/>
                <w14:textFill>
                  <w14:solidFill>
                    <w14:schemeClr w14:val="tx1"/>
                  </w14:solidFill>
                </w14:textFill>
              </w:rPr>
              <w:t>表2-</w:t>
            </w:r>
            <w:r>
              <w:rPr>
                <w:rFonts w:hint="default" w:ascii="Times New Roman" w:hAnsi="Times New Roman" w:cs="Times New Roman"/>
                <w:b/>
                <w:snapToGrid w:val="0"/>
                <w:color w:val="000000" w:themeColor="text1"/>
                <w:highlight w:val="none"/>
                <w:lang w:val="en-US" w:eastAsia="zh-CN"/>
                <w14:textFill>
                  <w14:solidFill>
                    <w14:schemeClr w14:val="tx1"/>
                  </w14:solidFill>
                </w14:textFill>
              </w:rPr>
              <w:t>9</w:t>
            </w:r>
            <w:r>
              <w:rPr>
                <w:rFonts w:hint="default" w:ascii="Times New Roman" w:hAnsi="Times New Roman" w:cs="Times New Roman"/>
                <w:b/>
                <w:snapToGrid w:val="0"/>
                <w:color w:val="000000" w:themeColor="text1"/>
                <w:highlight w:val="none"/>
                <w14:textFill>
                  <w14:solidFill>
                    <w14:schemeClr w14:val="tx1"/>
                  </w14:solidFill>
                </w14:textFill>
              </w:rPr>
              <w:t xml:space="preserve">  项目喷漆规模及喷漆面积核算表一览表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495"/>
              <w:gridCol w:w="701"/>
              <w:gridCol w:w="1074"/>
              <w:gridCol w:w="1614"/>
              <w:gridCol w:w="1096"/>
              <w:gridCol w:w="747"/>
              <w:gridCol w:w="952"/>
              <w:gridCol w:w="738"/>
            </w:tblGrid>
            <w:tr w14:paraId="61910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blHeader/>
              </w:trPr>
              <w:tc>
                <w:tcPr>
                  <w:tcW w:w="665" w:type="pct"/>
                  <w:vAlign w:val="center"/>
                </w:tcPr>
                <w:p w14:paraId="549F1D2D">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喷涂产品</w:t>
                  </w:r>
                </w:p>
              </w:tc>
              <w:tc>
                <w:tcPr>
                  <w:tcW w:w="698" w:type="pct"/>
                  <w:gridSpan w:val="2"/>
                  <w:vAlign w:val="center"/>
                </w:tcPr>
                <w:p w14:paraId="772F286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w:t>
                  </w:r>
                </w:p>
                <w:p w14:paraId="672CF3B1">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种类</w:t>
                  </w:r>
                </w:p>
              </w:tc>
              <w:tc>
                <w:tcPr>
                  <w:tcW w:w="627" w:type="pct"/>
                  <w:vAlign w:val="center"/>
                </w:tcPr>
                <w:p w14:paraId="428DC13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w:t>
                  </w:r>
                </w:p>
                <w:p w14:paraId="533A34B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数量</w:t>
                  </w:r>
                </w:p>
              </w:tc>
              <w:tc>
                <w:tcPr>
                  <w:tcW w:w="942" w:type="pct"/>
                  <w:vAlign w:val="center"/>
                </w:tcPr>
                <w:p w14:paraId="7B064E1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喷涂产品参数面积</w:t>
                  </w:r>
                </w:p>
              </w:tc>
              <w:tc>
                <w:tcPr>
                  <w:tcW w:w="640" w:type="pct"/>
                  <w:vAlign w:val="center"/>
                </w:tcPr>
                <w:p w14:paraId="3BEEA5D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喷涂面积</w:t>
                  </w:r>
                </w:p>
                <w:p w14:paraId="4D5E038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/a）</w:t>
                  </w:r>
                </w:p>
              </w:tc>
              <w:tc>
                <w:tcPr>
                  <w:tcW w:w="436" w:type="pct"/>
                  <w:vAlign w:val="center"/>
                </w:tcPr>
                <w:p w14:paraId="2AB914C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w:t>
                  </w:r>
                </w:p>
                <w:p w14:paraId="195ED084">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遍数</w:t>
                  </w:r>
                </w:p>
              </w:tc>
              <w:tc>
                <w:tcPr>
                  <w:tcW w:w="556" w:type="pct"/>
                  <w:vAlign w:val="center"/>
                </w:tcPr>
                <w:p w14:paraId="6572109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单遍漆</w:t>
                  </w:r>
                </w:p>
                <w:p w14:paraId="63F3A3B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膜厚度</w:t>
                  </w:r>
                </w:p>
              </w:tc>
              <w:tc>
                <w:tcPr>
                  <w:tcW w:w="431" w:type="pct"/>
                  <w:vAlign w:val="center"/>
                </w:tcPr>
                <w:p w14:paraId="14DC46B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上漆率</w:t>
                  </w:r>
                </w:p>
              </w:tc>
            </w:tr>
            <w:tr w14:paraId="069CA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65" w:type="pct"/>
                  <w:vMerge w:val="restart"/>
                  <w:vAlign w:val="center"/>
                </w:tcPr>
                <w:p w14:paraId="1322F1F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设备结构件</w:t>
                  </w:r>
                </w:p>
              </w:tc>
              <w:tc>
                <w:tcPr>
                  <w:tcW w:w="289" w:type="pct"/>
                  <w:vMerge w:val="restart"/>
                  <w:vAlign w:val="center"/>
                </w:tcPr>
                <w:p w14:paraId="3EA95A6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油性漆</w:t>
                  </w:r>
                </w:p>
              </w:tc>
              <w:tc>
                <w:tcPr>
                  <w:tcW w:w="409" w:type="pct"/>
                  <w:vAlign w:val="center"/>
                </w:tcPr>
                <w:p w14:paraId="01FD50A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底漆</w:t>
                  </w:r>
                </w:p>
              </w:tc>
              <w:tc>
                <w:tcPr>
                  <w:tcW w:w="627" w:type="pct"/>
                  <w:vAlign w:val="center"/>
                </w:tcPr>
                <w:p w14:paraId="6E0BAB1F">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7000t/a</w:t>
                  </w:r>
                </w:p>
              </w:tc>
              <w:tc>
                <w:tcPr>
                  <w:tcW w:w="942" w:type="pct"/>
                  <w:vAlign w:val="center"/>
                </w:tcPr>
                <w:p w14:paraId="50B0B4A8">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/个·产品</w:t>
                  </w:r>
                </w:p>
                <w:p w14:paraId="260F6D4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（取8t/个）</w:t>
                  </w:r>
                </w:p>
              </w:tc>
              <w:tc>
                <w:tcPr>
                  <w:tcW w:w="640" w:type="pct"/>
                  <w:vAlign w:val="center"/>
                </w:tcPr>
                <w:p w14:paraId="38DFBA8C">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11250</w:t>
                  </w:r>
                </w:p>
                <w:p w14:paraId="7A04557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13125</w:t>
                  </w:r>
                </w:p>
              </w:tc>
              <w:tc>
                <w:tcPr>
                  <w:tcW w:w="436" w:type="pct"/>
                  <w:vAlign w:val="center"/>
                </w:tcPr>
                <w:p w14:paraId="134F907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2遍</w:t>
                  </w:r>
                </w:p>
              </w:tc>
              <w:tc>
                <w:tcPr>
                  <w:tcW w:w="556" w:type="pct"/>
                  <w:vAlign w:val="center"/>
                </w:tcPr>
                <w:p w14:paraId="6E65339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30μm</w:t>
                  </w:r>
                </w:p>
              </w:tc>
              <w:tc>
                <w:tcPr>
                  <w:tcW w:w="431" w:type="pct"/>
                  <w:vAlign w:val="center"/>
                </w:tcPr>
                <w:p w14:paraId="3B78067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w:t>
                  </w:r>
                </w:p>
              </w:tc>
            </w:tr>
            <w:tr w14:paraId="261D3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5" w:type="pct"/>
                  <w:vMerge w:val="continue"/>
                  <w:vAlign w:val="center"/>
                </w:tcPr>
                <w:p w14:paraId="43AA1FF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289" w:type="pct"/>
                  <w:vMerge w:val="continue"/>
                  <w:vAlign w:val="center"/>
                </w:tcPr>
                <w:p w14:paraId="7099AFF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09" w:type="pct"/>
                  <w:vAlign w:val="center"/>
                </w:tcPr>
                <w:p w14:paraId="53011B2E">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面漆</w:t>
                  </w:r>
                </w:p>
              </w:tc>
              <w:tc>
                <w:tcPr>
                  <w:tcW w:w="627" w:type="pct"/>
                  <w:vAlign w:val="center"/>
                </w:tcPr>
                <w:p w14:paraId="6C7C9C3C">
                  <w:pPr>
                    <w:adjustRightInd w:val="0"/>
                    <w:snapToGrid w:val="0"/>
                    <w:ind w:left="62"/>
                    <w:jc w:val="center"/>
                    <w:rPr>
                      <w:rFonts w:hint="default" w:ascii="Times New Roman" w:hAnsi="Times New Roman" w:cs="Times New Roman"/>
                      <w:color w:val="000000" w:themeColor="text1"/>
                      <w:szCs w:val="21"/>
                      <w:highlight w:val="none"/>
                      <w:lang w:val="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7000t/a</w:t>
                  </w:r>
                </w:p>
              </w:tc>
              <w:tc>
                <w:tcPr>
                  <w:tcW w:w="942" w:type="pct"/>
                  <w:vAlign w:val="center"/>
                </w:tcPr>
                <w:p w14:paraId="0382928D">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/个·产品</w:t>
                  </w:r>
                </w:p>
                <w:p w14:paraId="433CDC4D">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（取8t/个）</w:t>
                  </w:r>
                </w:p>
              </w:tc>
              <w:tc>
                <w:tcPr>
                  <w:tcW w:w="640" w:type="pct"/>
                  <w:vAlign w:val="center"/>
                </w:tcPr>
                <w:p w14:paraId="10DC4ED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11250</w:t>
                  </w:r>
                </w:p>
                <w:p w14:paraId="6EC951EA">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13125</w:t>
                  </w:r>
                </w:p>
              </w:tc>
              <w:tc>
                <w:tcPr>
                  <w:tcW w:w="436" w:type="pct"/>
                  <w:vAlign w:val="center"/>
                </w:tcPr>
                <w:p w14:paraId="3C58669C">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1遍</w:t>
                  </w:r>
                </w:p>
              </w:tc>
              <w:tc>
                <w:tcPr>
                  <w:tcW w:w="556" w:type="pct"/>
                  <w:vAlign w:val="center"/>
                </w:tcPr>
                <w:p w14:paraId="26653807">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40μm</w:t>
                  </w:r>
                </w:p>
              </w:tc>
              <w:tc>
                <w:tcPr>
                  <w:tcW w:w="431" w:type="pct"/>
                  <w:vAlign w:val="center"/>
                </w:tcPr>
                <w:p w14:paraId="142337B7">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w:t>
                  </w:r>
                </w:p>
              </w:tc>
            </w:tr>
          </w:tbl>
          <w:p w14:paraId="4932118D">
            <w:pPr>
              <w:adjustRightInd w:val="0"/>
              <w:snapToGrid w:val="0"/>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根据《涂装技术使用手册》（叶扬详主编，机械工业出版社出版）计算水性漆用漆量，公式如下：</w:t>
            </w:r>
          </w:p>
          <w:p w14:paraId="20D82178">
            <w:pPr>
              <w:spacing w:line="360" w:lineRule="auto"/>
              <w:ind w:firstLine="48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0" distR="0">
                  <wp:extent cx="2062480" cy="360045"/>
                  <wp:effectExtent l="0" t="0" r="13970" b="190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0"/>
                          <a:stretch>
                            <a:fillRect/>
                          </a:stretch>
                        </pic:blipFill>
                        <pic:spPr>
                          <a:xfrm>
                            <a:off x="0" y="0"/>
                            <a:ext cx="2371146" cy="414141"/>
                          </a:xfrm>
                          <a:prstGeom prst="rect">
                            <a:avLst/>
                          </a:prstGeom>
                        </pic:spPr>
                      </pic:pic>
                    </a:graphicData>
                  </a:graphic>
                </wp:inline>
              </w:drawing>
            </w:r>
          </w:p>
          <w:p w14:paraId="1E88CADE">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式中：M——单种工作漆用量（t/a）；</w:t>
            </w:r>
          </w:p>
          <w:p w14:paraId="00DB6B10">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ρ——喷涂漆密度（g/cm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p>
          <w:p w14:paraId="7CA6F211">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δ——涂层厚度（μm）；</w:t>
            </w:r>
          </w:p>
          <w:p w14:paraId="2BA16B4B">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s——涂装面积（m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/a）；</w:t>
            </w:r>
          </w:p>
          <w:p w14:paraId="6A9DD7A9">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NV——工作漆中的体积固组分；</w:t>
            </w:r>
          </w:p>
          <w:p w14:paraId="4467702C">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ε——上漆率，取值70%。</w:t>
            </w:r>
          </w:p>
          <w:p w14:paraId="4F47128A">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根据公式计算，本项目设备结构件喷漆工序所用的按工艺要求调配好的底漆及面漆用量具体核算情况见</w:t>
            </w:r>
            <w:r>
              <w:rPr>
                <w:rFonts w:hint="default" w:ascii="Times New Roman" w:hAnsi="Times New Roman" w:cs="Times New Roman"/>
                <w:color w:val="000000" w:themeColor="text1"/>
                <w:sz w:val="24"/>
                <w:highlight w:val="none"/>
                <w14:textFill>
                  <w14:solidFill>
                    <w14:schemeClr w14:val="tx1"/>
                  </w14:solidFill>
                </w14:textFill>
              </w:rPr>
              <w:t>下</w:t>
            </w:r>
            <w:r>
              <w:rPr>
                <w:rFonts w:hint="default" w:ascii="Times New Roman" w:hAnsi="Times New Roman" w:cs="Times New Roman"/>
                <w:color w:val="000000" w:themeColor="text1"/>
                <w:sz w:val="24"/>
                <w:highlight w:val="none"/>
                <w14:textFill>
                  <w14:solidFill>
                    <w14:schemeClr w14:val="tx1"/>
                  </w14:solidFill>
                </w14:textFill>
              </w:rPr>
              <w:t>表；另根据</w:t>
            </w:r>
            <w:r>
              <w:rPr>
                <w:rFonts w:hint="default" w:ascii="Times New Roman" w:hAnsi="Times New Roman" w:cs="Times New Roman"/>
                <w:snapToGrid w:val="0"/>
                <w:color w:val="000000" w:themeColor="text1"/>
                <w:sz w:val="24"/>
                <w:highlight w:val="none"/>
                <w14:textFill>
                  <w14:solidFill>
                    <w14:schemeClr w14:val="tx1"/>
                  </w14:solidFill>
                </w14:textFill>
              </w:rPr>
              <w:t>底漆及面漆调漆比例表可推算出本项目调配前各类漆的用量，具体见</w:t>
            </w:r>
            <w:r>
              <w:rPr>
                <w:rFonts w:hint="default" w:ascii="Times New Roman" w:hAnsi="Times New Roman" w:cs="Times New Roman"/>
                <w:color w:val="000000" w:themeColor="text1"/>
                <w:sz w:val="24"/>
                <w:highlight w:val="none"/>
                <w14:textFill>
                  <w14:solidFill>
                    <w14:schemeClr w14:val="tx1"/>
                  </w14:solidFill>
                </w14:textFill>
              </w:rPr>
              <w:t>下</w:t>
            </w:r>
            <w:r>
              <w:rPr>
                <w:rFonts w:hint="default" w:ascii="Times New Roman" w:hAnsi="Times New Roman" w:cs="Times New Roman"/>
                <w:snapToGrid w:val="0"/>
                <w:color w:val="000000" w:themeColor="text1"/>
                <w:sz w:val="24"/>
                <w:highlight w:val="none"/>
                <w14:textFill>
                  <w14:solidFill>
                    <w14:schemeClr w14:val="tx1"/>
                  </w14:solidFill>
                </w14:textFill>
              </w:rPr>
              <w:t>表</w:t>
            </w:r>
            <w:r>
              <w:rPr>
                <w:rFonts w:hint="default" w:ascii="Times New Roman" w:hAnsi="Times New Roman" w:cs="Times New Roman"/>
                <w:color w:val="000000" w:themeColor="text1"/>
                <w:sz w:val="24"/>
                <w:highlight w:val="none"/>
                <w14:textFill>
                  <w14:solidFill>
                    <w14:schemeClr w14:val="tx1"/>
                  </w14:solidFill>
                </w14:textFill>
              </w:rPr>
              <w:t>。</w:t>
            </w:r>
          </w:p>
          <w:p w14:paraId="13F780D9">
            <w:pPr>
              <w:adjustRightInd w:val="0"/>
              <w:snapToGrid w:val="0"/>
              <w:jc w:val="center"/>
              <w:rPr>
                <w:rFonts w:hint="default" w:ascii="Times New Roman" w:hAnsi="Times New Roman" w:cs="Times New Roman"/>
                <w:b/>
                <w:snapToGrid w:val="0"/>
                <w:color w:val="000000" w:themeColor="text1"/>
                <w:highlight w:val="none"/>
                <w14:textFill>
                  <w14:solidFill>
                    <w14:schemeClr w14:val="tx1"/>
                  </w14:solidFill>
                </w14:textFill>
              </w:rPr>
            </w:pPr>
            <w:r>
              <w:rPr>
                <w:rFonts w:hint="default" w:ascii="Times New Roman" w:hAnsi="Times New Roman" w:cs="Times New Roman"/>
                <w:b/>
                <w:snapToGrid w:val="0"/>
                <w:color w:val="000000" w:themeColor="text1"/>
                <w:highlight w:val="none"/>
                <w14:textFill>
                  <w14:solidFill>
                    <w14:schemeClr w14:val="tx1"/>
                  </w14:solidFill>
                </w14:textFill>
              </w:rPr>
              <w:t>表2-1</w:t>
            </w:r>
            <w:r>
              <w:rPr>
                <w:rFonts w:hint="default" w:ascii="Times New Roman" w:hAnsi="Times New Roman" w:cs="Times New Roman"/>
                <w:b/>
                <w:snapToGrid w:val="0"/>
                <w:color w:val="000000" w:themeColor="text1"/>
                <w:highlight w:val="none"/>
                <w:lang w:val="en-US" w:eastAsia="zh-CN"/>
                <w14:textFill>
                  <w14:solidFill>
                    <w14:schemeClr w14:val="tx1"/>
                  </w14:solidFill>
                </w14:textFill>
              </w:rPr>
              <w:t>0</w:t>
            </w:r>
            <w:r>
              <w:rPr>
                <w:rFonts w:hint="default" w:ascii="Times New Roman" w:hAnsi="Times New Roman" w:cs="Times New Roman"/>
                <w:b/>
                <w:snapToGrid w:val="0"/>
                <w:color w:val="000000" w:themeColor="text1"/>
                <w:highlight w:val="none"/>
                <w14:textFill>
                  <w14:solidFill>
                    <w14:schemeClr w14:val="tx1"/>
                  </w14:solidFill>
                </w14:textFill>
              </w:rPr>
              <w:t xml:space="preserve">   项目调配后的油性漆用量核算一览表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918"/>
              <w:gridCol w:w="801"/>
              <w:gridCol w:w="762"/>
              <w:gridCol w:w="830"/>
              <w:gridCol w:w="830"/>
              <w:gridCol w:w="743"/>
              <w:gridCol w:w="954"/>
              <w:gridCol w:w="781"/>
              <w:gridCol w:w="808"/>
            </w:tblGrid>
            <w:tr w14:paraId="5E711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1" w:type="pct"/>
                  <w:vAlign w:val="center"/>
                </w:tcPr>
                <w:p w14:paraId="1916D36F">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w:t>
                  </w:r>
                </w:p>
                <w:p w14:paraId="1BBA118F">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产品</w:t>
                  </w:r>
                </w:p>
              </w:tc>
              <w:tc>
                <w:tcPr>
                  <w:tcW w:w="536" w:type="pct"/>
                  <w:vAlign w:val="center"/>
                </w:tcPr>
                <w:p w14:paraId="4C40525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喷涂</w:t>
                  </w:r>
                </w:p>
                <w:p w14:paraId="5AA2F68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种类</w:t>
                  </w:r>
                </w:p>
              </w:tc>
              <w:tc>
                <w:tcPr>
                  <w:tcW w:w="468" w:type="pct"/>
                  <w:vAlign w:val="center"/>
                </w:tcPr>
                <w:p w14:paraId="38D91BC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密度g/cm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445" w:type="pct"/>
                  <w:vAlign w:val="center"/>
                </w:tcPr>
                <w:p w14:paraId="7C0B364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厚度</w:t>
                  </w:r>
                </w:p>
                <w:p w14:paraId="552DEFDF">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μm</w:t>
                  </w:r>
                </w:p>
              </w:tc>
              <w:tc>
                <w:tcPr>
                  <w:tcW w:w="485" w:type="pct"/>
                  <w:vAlign w:val="center"/>
                </w:tcPr>
                <w:p w14:paraId="5E58332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面积m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/a</w:t>
                  </w:r>
                </w:p>
              </w:tc>
              <w:tc>
                <w:tcPr>
                  <w:tcW w:w="485" w:type="pct"/>
                  <w:vAlign w:val="center"/>
                </w:tcPr>
                <w:p w14:paraId="78AE28CA">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固组分%</w:t>
                  </w:r>
                </w:p>
              </w:tc>
              <w:tc>
                <w:tcPr>
                  <w:tcW w:w="434" w:type="pct"/>
                  <w:vAlign w:val="center"/>
                </w:tcPr>
                <w:p w14:paraId="4C5FC93D">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上漆率%</w:t>
                  </w:r>
                </w:p>
              </w:tc>
              <w:tc>
                <w:tcPr>
                  <w:tcW w:w="557" w:type="pct"/>
                  <w:vAlign w:val="center"/>
                </w:tcPr>
                <w:p w14:paraId="11B80CB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单遍用漆量t/a</w:t>
                  </w:r>
                </w:p>
              </w:tc>
              <w:tc>
                <w:tcPr>
                  <w:tcW w:w="453" w:type="pct"/>
                  <w:vAlign w:val="center"/>
                </w:tcPr>
                <w:p w14:paraId="5CCD97DC">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喷漆遍数</w:t>
                  </w:r>
                </w:p>
              </w:tc>
              <w:tc>
                <w:tcPr>
                  <w:tcW w:w="472" w:type="pct"/>
                  <w:vAlign w:val="center"/>
                </w:tcPr>
                <w:p w14:paraId="5647ADA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总用漆量</w:t>
                  </w:r>
                </w:p>
                <w:p w14:paraId="16DE04F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r>
            <w:tr w14:paraId="494E0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1" w:type="pct"/>
                  <w:vMerge w:val="restart"/>
                  <w:vAlign w:val="center"/>
                </w:tcPr>
                <w:p w14:paraId="34D8B5D8">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设备结构件</w:t>
                  </w:r>
                </w:p>
              </w:tc>
              <w:tc>
                <w:tcPr>
                  <w:tcW w:w="536" w:type="pct"/>
                  <w:vAlign w:val="center"/>
                </w:tcPr>
                <w:p w14:paraId="78C4E75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底漆</w:t>
                  </w:r>
                </w:p>
              </w:tc>
              <w:tc>
                <w:tcPr>
                  <w:tcW w:w="468" w:type="pct"/>
                  <w:vAlign w:val="center"/>
                </w:tcPr>
                <w:p w14:paraId="34EB3C6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1.33</w:t>
                  </w:r>
                </w:p>
              </w:tc>
              <w:tc>
                <w:tcPr>
                  <w:tcW w:w="445" w:type="pct"/>
                  <w:vAlign w:val="center"/>
                </w:tcPr>
                <w:p w14:paraId="3F79594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30</w:t>
                  </w:r>
                </w:p>
              </w:tc>
              <w:tc>
                <w:tcPr>
                  <w:tcW w:w="485" w:type="pct"/>
                  <w:vAlign w:val="center"/>
                </w:tcPr>
                <w:p w14:paraId="2D63613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13125</w:t>
                  </w:r>
                </w:p>
              </w:tc>
              <w:tc>
                <w:tcPr>
                  <w:tcW w:w="485" w:type="pct"/>
                  <w:vAlign w:val="center"/>
                </w:tcPr>
                <w:p w14:paraId="58958C6A">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61.27</w:t>
                  </w:r>
                </w:p>
              </w:tc>
              <w:tc>
                <w:tcPr>
                  <w:tcW w:w="434" w:type="pct"/>
                  <w:vAlign w:val="center"/>
                </w:tcPr>
                <w:p w14:paraId="7C38ADFF">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w:t>
                  </w:r>
                </w:p>
              </w:tc>
              <w:tc>
                <w:tcPr>
                  <w:tcW w:w="557" w:type="pct"/>
                  <w:vAlign w:val="center"/>
                </w:tcPr>
                <w:p w14:paraId="25781AA1">
                  <w:pPr>
                    <w:widowControl/>
                    <w:ind w:left="62"/>
                    <w:jc w:val="center"/>
                    <w:textAlignment w:val="center"/>
                    <w:rPr>
                      <w:rFonts w:hint="default" w:ascii="Times New Roman" w:hAnsi="Times New Roman" w:eastAsia="等线" w:cs="Times New Roman"/>
                      <w:color w:val="000000" w:themeColor="text1"/>
                      <w:szCs w:val="21"/>
                      <w:highlight w:val="none"/>
                      <w:lang w:bidi="ar"/>
                      <w14:textFill>
                        <w14:solidFill>
                          <w14:schemeClr w14:val="tx1"/>
                        </w14:solidFill>
                      </w14:textFill>
                    </w:rPr>
                  </w:pPr>
                  <w:r>
                    <w:rPr>
                      <w:rFonts w:hint="default" w:ascii="Times New Roman" w:hAnsi="Times New Roman" w:eastAsia="等线" w:cs="Times New Roman"/>
                      <w:color w:val="000000" w:themeColor="text1"/>
                      <w:szCs w:val="21"/>
                      <w:highlight w:val="none"/>
                      <w:lang w:bidi="ar"/>
                      <w14:textFill>
                        <w14:solidFill>
                          <w14:schemeClr w14:val="tx1"/>
                        </w14:solidFill>
                      </w14:textFill>
                    </w:rPr>
                    <w:t>1.221</w:t>
                  </w:r>
                </w:p>
              </w:tc>
              <w:tc>
                <w:tcPr>
                  <w:tcW w:w="453" w:type="pct"/>
                  <w:vAlign w:val="center"/>
                </w:tcPr>
                <w:p w14:paraId="0BA26A3C">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w:t>
                  </w:r>
                </w:p>
              </w:tc>
              <w:tc>
                <w:tcPr>
                  <w:tcW w:w="472" w:type="pct"/>
                  <w:vAlign w:val="center"/>
                </w:tcPr>
                <w:p w14:paraId="70D227CE">
                  <w:pPr>
                    <w:widowControl/>
                    <w:autoSpaceDE w:val="0"/>
                    <w:autoSpaceDN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2.442</w:t>
                  </w:r>
                </w:p>
              </w:tc>
            </w:tr>
            <w:tr w14:paraId="42D96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1" w:type="pct"/>
                  <w:vMerge w:val="continue"/>
                  <w:vAlign w:val="center"/>
                </w:tcPr>
                <w:p w14:paraId="51DE33A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36" w:type="pct"/>
                  <w:vAlign w:val="center"/>
                </w:tcPr>
                <w:p w14:paraId="546FDCD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黄面漆</w:t>
                  </w:r>
                </w:p>
              </w:tc>
              <w:tc>
                <w:tcPr>
                  <w:tcW w:w="468" w:type="pct"/>
                  <w:vAlign w:val="center"/>
                </w:tcPr>
                <w:p w14:paraId="6277074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1.23</w:t>
                  </w:r>
                </w:p>
              </w:tc>
              <w:tc>
                <w:tcPr>
                  <w:tcW w:w="445" w:type="pct"/>
                  <w:vAlign w:val="center"/>
                </w:tcPr>
                <w:p w14:paraId="0B5F285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40</w:t>
                  </w:r>
                </w:p>
              </w:tc>
              <w:tc>
                <w:tcPr>
                  <w:tcW w:w="485" w:type="pct"/>
                  <w:vAlign w:val="center"/>
                </w:tcPr>
                <w:p w14:paraId="5C9AE9D1">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13125</w:t>
                  </w:r>
                </w:p>
              </w:tc>
              <w:tc>
                <w:tcPr>
                  <w:tcW w:w="485" w:type="pct"/>
                  <w:vAlign w:val="center"/>
                </w:tcPr>
                <w:p w14:paraId="3E08E5D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67.87</w:t>
                  </w:r>
                </w:p>
              </w:tc>
              <w:tc>
                <w:tcPr>
                  <w:tcW w:w="434" w:type="pct"/>
                  <w:vAlign w:val="center"/>
                </w:tcPr>
                <w:p w14:paraId="76657C88">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70</w:t>
                  </w:r>
                </w:p>
              </w:tc>
              <w:tc>
                <w:tcPr>
                  <w:tcW w:w="557" w:type="pct"/>
                  <w:vAlign w:val="center"/>
                </w:tcPr>
                <w:p w14:paraId="2E67660B">
                  <w:pPr>
                    <w:widowControl/>
                    <w:ind w:left="62"/>
                    <w:jc w:val="center"/>
                    <w:textAlignment w:val="center"/>
                    <w:rPr>
                      <w:rFonts w:hint="default" w:ascii="Times New Roman" w:hAnsi="Times New Roman" w:eastAsia="等线" w:cs="Times New Roman"/>
                      <w:color w:val="000000" w:themeColor="text1"/>
                      <w:szCs w:val="21"/>
                      <w:highlight w:val="none"/>
                      <w:lang w:bidi="ar"/>
                      <w14:textFill>
                        <w14:solidFill>
                          <w14:schemeClr w14:val="tx1"/>
                        </w14:solidFill>
                      </w14:textFill>
                    </w:rPr>
                  </w:pPr>
                  <w:r>
                    <w:rPr>
                      <w:rFonts w:hint="default" w:ascii="Times New Roman" w:hAnsi="Times New Roman" w:eastAsia="等线" w:cs="Times New Roman"/>
                      <w:color w:val="000000" w:themeColor="text1"/>
                      <w:szCs w:val="21"/>
                      <w:highlight w:val="none"/>
                      <w:lang w:bidi="ar"/>
                      <w14:textFill>
                        <w14:solidFill>
                          <w14:schemeClr w14:val="tx1"/>
                        </w14:solidFill>
                      </w14:textFill>
                    </w:rPr>
                    <w:t>1.359</w:t>
                  </w:r>
                </w:p>
              </w:tc>
              <w:tc>
                <w:tcPr>
                  <w:tcW w:w="453" w:type="pct"/>
                  <w:vAlign w:val="center"/>
                </w:tcPr>
                <w:p w14:paraId="4FC2788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472" w:type="pct"/>
                  <w:vAlign w:val="center"/>
                </w:tcPr>
                <w:p w14:paraId="7297C124">
                  <w:pPr>
                    <w:widowControl/>
                    <w:autoSpaceDE w:val="0"/>
                    <w:autoSpaceDN w:val="0"/>
                    <w:ind w:left="62"/>
                    <w:jc w:val="center"/>
                    <w:textAlignment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 xml:space="preserve">1.365 </w:t>
                  </w:r>
                </w:p>
              </w:tc>
            </w:tr>
            <w:tr w14:paraId="6EEA9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27" w:type="pct"/>
                  <w:gridSpan w:val="9"/>
                  <w:vAlign w:val="center"/>
                </w:tcPr>
                <w:p w14:paraId="2A82374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油漆总计</w:t>
                  </w:r>
                </w:p>
              </w:tc>
              <w:tc>
                <w:tcPr>
                  <w:tcW w:w="472" w:type="pct"/>
                  <w:vAlign w:val="center"/>
                </w:tcPr>
                <w:p w14:paraId="608F277C">
                  <w:pPr>
                    <w:adjustRightInd w:val="0"/>
                    <w:snapToGrid w:val="0"/>
                    <w:ind w:left="62"/>
                    <w:jc w:val="center"/>
                    <w:rPr>
                      <w:rFonts w:hint="default" w:ascii="Times New Roman" w:hAnsi="Times New Roman" w:eastAsia="等线"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3.807</w:t>
                  </w:r>
                </w:p>
              </w:tc>
            </w:tr>
          </w:tbl>
          <w:p w14:paraId="3985E67B">
            <w:pPr>
              <w:adjustRightInd w:val="0"/>
              <w:snapToGrid w:val="0"/>
              <w:jc w:val="center"/>
              <w:rPr>
                <w:rFonts w:hint="default" w:ascii="Times New Roman" w:hAnsi="Times New Roman" w:cs="Times New Roman"/>
                <w:b/>
                <w:snapToGrid w:val="0"/>
                <w:color w:val="000000" w:themeColor="text1"/>
                <w:highlight w:val="none"/>
                <w14:textFill>
                  <w14:solidFill>
                    <w14:schemeClr w14:val="tx1"/>
                  </w14:solidFill>
                </w14:textFill>
              </w:rPr>
            </w:pPr>
            <w:r>
              <w:rPr>
                <w:rFonts w:hint="default" w:ascii="Times New Roman" w:hAnsi="Times New Roman" w:cs="Times New Roman"/>
                <w:b/>
                <w:snapToGrid w:val="0"/>
                <w:color w:val="000000" w:themeColor="text1"/>
                <w:highlight w:val="none"/>
                <w14:textFill>
                  <w14:solidFill>
                    <w14:schemeClr w14:val="tx1"/>
                  </w14:solidFill>
                </w14:textFill>
              </w:rPr>
              <w:t>表2-1</w:t>
            </w:r>
            <w:r>
              <w:rPr>
                <w:rFonts w:hint="default" w:ascii="Times New Roman" w:hAnsi="Times New Roman" w:cs="Times New Roman"/>
                <w:b/>
                <w:snapToGrid w:val="0"/>
                <w:color w:val="000000" w:themeColor="text1"/>
                <w:highlight w:val="none"/>
                <w:lang w:val="en-US" w:eastAsia="zh-CN"/>
                <w14:textFill>
                  <w14:solidFill>
                    <w14:schemeClr w14:val="tx1"/>
                  </w14:solidFill>
                </w14:textFill>
              </w:rPr>
              <w:t>1</w:t>
            </w:r>
            <w:r>
              <w:rPr>
                <w:rFonts w:hint="default" w:ascii="Times New Roman" w:hAnsi="Times New Roman" w:cs="Times New Roman"/>
                <w:b/>
                <w:snapToGrid w:val="0"/>
                <w:color w:val="000000" w:themeColor="text1"/>
                <w:highlight w:val="none"/>
                <w14:textFill>
                  <w14:solidFill>
                    <w14:schemeClr w14:val="tx1"/>
                  </w14:solidFill>
                </w14:textFill>
              </w:rPr>
              <w:t xml:space="preserve">  项目各类漆调配前用量一览表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710"/>
              <w:gridCol w:w="2421"/>
              <w:gridCol w:w="1336"/>
              <w:gridCol w:w="2133"/>
            </w:tblGrid>
            <w:tr w14:paraId="52D16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59" w:type="pct"/>
                  <w:gridSpan w:val="2"/>
                  <w:vAlign w:val="center"/>
                </w:tcPr>
                <w:p w14:paraId="60E7DB51">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调配后</w:t>
                  </w:r>
                </w:p>
              </w:tc>
              <w:tc>
                <w:tcPr>
                  <w:tcW w:w="3440" w:type="pct"/>
                  <w:gridSpan w:val="3"/>
                  <w:vAlign w:val="center"/>
                </w:tcPr>
                <w:p w14:paraId="39D59C1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调配前</w:t>
                  </w:r>
                </w:p>
              </w:tc>
            </w:tr>
            <w:tr w14:paraId="62A93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60" w:type="pct"/>
                  <w:vAlign w:val="center"/>
                </w:tcPr>
                <w:p w14:paraId="45D3293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名称</w:t>
                  </w:r>
                </w:p>
              </w:tc>
              <w:tc>
                <w:tcPr>
                  <w:tcW w:w="999" w:type="pct"/>
                  <w:vAlign w:val="center"/>
                </w:tcPr>
                <w:p w14:paraId="50E033B6">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核算总量（t/a）</w:t>
                  </w:r>
                </w:p>
              </w:tc>
              <w:tc>
                <w:tcPr>
                  <w:tcW w:w="1414" w:type="pct"/>
                  <w:vAlign w:val="center"/>
                </w:tcPr>
                <w:p w14:paraId="442CB11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各类用漆名称</w:t>
                  </w:r>
                </w:p>
              </w:tc>
              <w:tc>
                <w:tcPr>
                  <w:tcW w:w="779" w:type="pct"/>
                  <w:vAlign w:val="center"/>
                </w:tcPr>
                <w:p w14:paraId="0191E53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比例</w:t>
                  </w:r>
                </w:p>
              </w:tc>
              <w:tc>
                <w:tcPr>
                  <w:tcW w:w="1246" w:type="pct"/>
                  <w:vAlign w:val="center"/>
                </w:tcPr>
                <w:p w14:paraId="55135B7A">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各类漆用量（t/a）</w:t>
                  </w:r>
                </w:p>
              </w:tc>
            </w:tr>
            <w:tr w14:paraId="1A5B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restart"/>
                  <w:vAlign w:val="center"/>
                </w:tcPr>
                <w:p w14:paraId="0FE6CE0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底漆</w:t>
                  </w:r>
                </w:p>
              </w:tc>
              <w:tc>
                <w:tcPr>
                  <w:tcW w:w="999" w:type="pct"/>
                  <w:vMerge w:val="restart"/>
                  <w:vAlign w:val="center"/>
                </w:tcPr>
                <w:p w14:paraId="24798668">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2.442</w:t>
                  </w:r>
                </w:p>
              </w:tc>
              <w:tc>
                <w:tcPr>
                  <w:tcW w:w="1414" w:type="pct"/>
                  <w:vAlign w:val="center"/>
                </w:tcPr>
                <w:p w14:paraId="6526044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灰色环氧底漆</w:t>
                  </w:r>
                </w:p>
              </w:tc>
              <w:tc>
                <w:tcPr>
                  <w:tcW w:w="779" w:type="pct"/>
                  <w:vAlign w:val="center"/>
                </w:tcPr>
                <w:p w14:paraId="7E7F9A24">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14</w:t>
                  </w:r>
                </w:p>
              </w:tc>
              <w:tc>
                <w:tcPr>
                  <w:tcW w:w="1246" w:type="pct"/>
                  <w:vAlign w:val="center"/>
                </w:tcPr>
                <w:p w14:paraId="004962AC">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2.118</w:t>
                  </w:r>
                </w:p>
              </w:tc>
            </w:tr>
            <w:tr w14:paraId="12135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continue"/>
                  <w:vAlign w:val="center"/>
                </w:tcPr>
                <w:p w14:paraId="3563FBA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999" w:type="pct"/>
                  <w:vMerge w:val="continue"/>
                  <w:vAlign w:val="center"/>
                </w:tcPr>
                <w:p w14:paraId="57BA471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14" w:type="pct"/>
                  <w:vAlign w:val="center"/>
                </w:tcPr>
                <w:p w14:paraId="2045E7F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环氧快干固化</w:t>
                  </w:r>
                </w:p>
              </w:tc>
              <w:tc>
                <w:tcPr>
                  <w:tcW w:w="779" w:type="pct"/>
                  <w:vAlign w:val="center"/>
                </w:tcPr>
                <w:p w14:paraId="34E1BC50">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46" w:type="pct"/>
                  <w:vAlign w:val="center"/>
                </w:tcPr>
                <w:p w14:paraId="5302160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0.221</w:t>
                  </w:r>
                </w:p>
              </w:tc>
            </w:tr>
            <w:tr w14:paraId="5791F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continue"/>
                  <w:vAlign w:val="center"/>
                </w:tcPr>
                <w:p w14:paraId="0C505A0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999" w:type="pct"/>
                  <w:vMerge w:val="continue"/>
                  <w:vAlign w:val="center"/>
                </w:tcPr>
                <w:p w14:paraId="019B7F3D">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14" w:type="pct"/>
                  <w:vAlign w:val="center"/>
                </w:tcPr>
                <w:p w14:paraId="456D0AD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夏用环氧稀释剂</w:t>
                  </w:r>
                </w:p>
              </w:tc>
              <w:tc>
                <w:tcPr>
                  <w:tcW w:w="779" w:type="pct"/>
                  <w:vAlign w:val="center"/>
                </w:tcPr>
                <w:p w14:paraId="0344F4F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2.5</w:t>
                  </w:r>
                </w:p>
              </w:tc>
              <w:tc>
                <w:tcPr>
                  <w:tcW w:w="1246" w:type="pct"/>
                  <w:vAlign w:val="center"/>
                </w:tcPr>
                <w:p w14:paraId="077611B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0.092</w:t>
                  </w:r>
                </w:p>
              </w:tc>
            </w:tr>
            <w:tr w14:paraId="6698E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restart"/>
                  <w:vAlign w:val="center"/>
                </w:tcPr>
                <w:p w14:paraId="14CF9AB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黄面漆</w:t>
                  </w:r>
                </w:p>
              </w:tc>
              <w:tc>
                <w:tcPr>
                  <w:tcW w:w="999" w:type="pct"/>
                  <w:vMerge w:val="restart"/>
                  <w:vAlign w:val="center"/>
                </w:tcPr>
                <w:p w14:paraId="7B703101">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1.365</w:t>
                  </w:r>
                </w:p>
              </w:tc>
              <w:tc>
                <w:tcPr>
                  <w:tcW w:w="1414" w:type="pct"/>
                  <w:vAlign w:val="center"/>
                </w:tcPr>
                <w:p w14:paraId="1A14E63B">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黄色聚氨酯面漆</w:t>
                  </w:r>
                </w:p>
              </w:tc>
              <w:tc>
                <w:tcPr>
                  <w:tcW w:w="779" w:type="pct"/>
                  <w:vAlign w:val="center"/>
                </w:tcPr>
                <w:p w14:paraId="2ED12A7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5.5</w:t>
                  </w:r>
                </w:p>
              </w:tc>
              <w:tc>
                <w:tcPr>
                  <w:tcW w:w="1246" w:type="pct"/>
                  <w:vAlign w:val="center"/>
                </w:tcPr>
                <w:p w14:paraId="2956160E">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1.085</w:t>
                  </w:r>
                </w:p>
              </w:tc>
            </w:tr>
            <w:tr w14:paraId="717B1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continue"/>
                  <w:vAlign w:val="center"/>
                </w:tcPr>
                <w:p w14:paraId="13850F9A">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999" w:type="pct"/>
                  <w:vMerge w:val="continue"/>
                  <w:vAlign w:val="center"/>
                </w:tcPr>
                <w:p w14:paraId="72B4404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14" w:type="pct"/>
                  <w:vAlign w:val="center"/>
                </w:tcPr>
                <w:p w14:paraId="081248D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聚氨酯固化剂</w:t>
                  </w:r>
                </w:p>
              </w:tc>
              <w:tc>
                <w:tcPr>
                  <w:tcW w:w="779" w:type="pct"/>
                  <w:vAlign w:val="center"/>
                </w:tcPr>
                <w:p w14:paraId="40806B25">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46" w:type="pct"/>
                  <w:vAlign w:val="center"/>
                </w:tcPr>
                <w:p w14:paraId="199B2F8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0.198</w:t>
                  </w:r>
                </w:p>
              </w:tc>
            </w:tr>
            <w:tr w14:paraId="51C8E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0" w:type="pct"/>
                  <w:vMerge w:val="continue"/>
                  <w:vAlign w:val="center"/>
                </w:tcPr>
                <w:p w14:paraId="19ADBDB2">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999" w:type="pct"/>
                  <w:vMerge w:val="continue"/>
                  <w:vAlign w:val="center"/>
                </w:tcPr>
                <w:p w14:paraId="395308D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14" w:type="pct"/>
                  <w:vAlign w:val="center"/>
                </w:tcPr>
                <w:p w14:paraId="4186FC44">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夏用面漆稀释剂</w:t>
                  </w:r>
                </w:p>
              </w:tc>
              <w:tc>
                <w:tcPr>
                  <w:tcW w:w="779" w:type="pct"/>
                  <w:vAlign w:val="center"/>
                </w:tcPr>
                <w:p w14:paraId="7288A693">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0.45</w:t>
                  </w:r>
                </w:p>
              </w:tc>
              <w:tc>
                <w:tcPr>
                  <w:tcW w:w="1246" w:type="pct"/>
                  <w:vAlign w:val="center"/>
                </w:tcPr>
                <w:p w14:paraId="7F6B487D">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0.093</w:t>
                  </w:r>
                </w:p>
              </w:tc>
            </w:tr>
            <w:tr w14:paraId="4599B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3" w:type="pct"/>
                  <w:gridSpan w:val="4"/>
                  <w:vAlign w:val="center"/>
                </w:tcPr>
                <w:p w14:paraId="22D0CFC9">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合计</w:t>
                  </w:r>
                </w:p>
              </w:tc>
              <w:tc>
                <w:tcPr>
                  <w:tcW w:w="1246" w:type="pct"/>
                  <w:vAlign w:val="center"/>
                </w:tcPr>
                <w:p w14:paraId="3FC00C04">
                  <w:pPr>
                    <w:adjustRightInd w:val="0"/>
                    <w:snapToGrid w:val="0"/>
                    <w:ind w:left="62"/>
                    <w:jc w:val="center"/>
                    <w:rPr>
                      <w:rFonts w:hint="default" w:ascii="Times New Roman" w:hAnsi="Times New Roman" w:eastAsia="等线"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3.807</w:t>
                  </w:r>
                </w:p>
              </w:tc>
            </w:tr>
          </w:tbl>
          <w:p w14:paraId="36569D14">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5、项目主要生产设备</w:t>
            </w:r>
          </w:p>
          <w:p w14:paraId="33D4D0B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本次</w:t>
            </w:r>
            <w:r>
              <w:rPr>
                <w:rFonts w:hint="default" w:ascii="Times New Roman" w:hAnsi="Times New Roman" w:cs="Times New Roman"/>
                <w:color w:val="000000" w:themeColor="text1"/>
                <w:sz w:val="24"/>
                <w:highlight w:val="none"/>
                <w:u w:val="single"/>
                <w14:textFill>
                  <w14:solidFill>
                    <w14:schemeClr w14:val="tx1"/>
                  </w14:solidFill>
                </w14:textFill>
              </w:rPr>
              <w:t>对现有废气处理设施进行优化升级，</w:t>
            </w:r>
            <w:r>
              <w:rPr>
                <w:rFonts w:hint="default" w:ascii="Times New Roman" w:hAnsi="Times New Roman" w:cs="Times New Roman"/>
                <w:color w:val="000000" w:themeColor="text1"/>
                <w:sz w:val="24"/>
                <w:highlight w:val="none"/>
                <w:u w:val="single"/>
                <w14:textFill>
                  <w14:solidFill>
                    <w14:schemeClr w14:val="tx1"/>
                  </w14:solidFill>
                </w14:textFill>
              </w:rPr>
              <w:t>扩</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建</w:t>
            </w:r>
            <w:r>
              <w:rPr>
                <w:rFonts w:hint="default" w:ascii="Times New Roman" w:hAnsi="Times New Roman" w:cs="Times New Roman"/>
                <w:color w:val="000000" w:themeColor="text1"/>
                <w:sz w:val="24"/>
                <w:highlight w:val="none"/>
                <w:u w:val="single"/>
                <w14:textFill>
                  <w14:solidFill>
                    <w14:schemeClr w14:val="tx1"/>
                  </w14:solidFill>
                </w14:textFill>
              </w:rPr>
              <w:t>项目</w:t>
            </w:r>
            <w:r>
              <w:rPr>
                <w:rFonts w:hint="default" w:ascii="Times New Roman" w:hAnsi="Times New Roman" w:cs="Times New Roman"/>
                <w:color w:val="000000" w:themeColor="text1"/>
                <w:sz w:val="24"/>
                <w:highlight w:val="none"/>
                <w:u w:val="single"/>
                <w14:textFill>
                  <w14:solidFill>
                    <w14:schemeClr w14:val="tx1"/>
                  </w14:solidFill>
                </w14:textFill>
              </w:rPr>
              <w:t>仅新增行车、激光切割机、气刨焊机、消防设施等设备，</w:t>
            </w:r>
            <w:r>
              <w:rPr>
                <w:rFonts w:hint="default" w:ascii="Times New Roman" w:hAnsi="Times New Roman" w:cs="Times New Roman"/>
                <w:color w:val="000000" w:themeColor="text1"/>
                <w:sz w:val="24"/>
                <w:highlight w:val="none"/>
                <w14:textFill>
                  <w14:solidFill>
                    <w14:schemeClr w14:val="tx1"/>
                  </w14:solidFill>
                </w14:textFill>
              </w:rPr>
              <w:t>其余均依托原有工程</w:t>
            </w:r>
            <w:r>
              <w:rPr>
                <w:rFonts w:hint="default" w:ascii="Times New Roman" w:hAnsi="Times New Roman" w:cs="Times New Roman"/>
                <w:color w:val="000000" w:themeColor="text1"/>
                <w:sz w:val="24"/>
                <w:highlight w:val="none"/>
                <w14:textFill>
                  <w14:solidFill>
                    <w14:schemeClr w14:val="tx1"/>
                  </w14:solidFill>
                </w14:textFill>
              </w:rPr>
              <w:t>设备</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改扩后</w:t>
            </w:r>
            <w:r>
              <w:rPr>
                <w:rFonts w:hint="default" w:ascii="Times New Roman" w:hAnsi="Times New Roman" w:cs="Times New Roman"/>
                <w:color w:val="000000" w:themeColor="text1"/>
                <w:sz w:val="24"/>
                <w:highlight w:val="none"/>
                <w14:textFill>
                  <w14:solidFill>
                    <w14:schemeClr w14:val="tx1"/>
                  </w14:solidFill>
                </w14:textFill>
              </w:rPr>
              <w:t>主要生产设备见表2-1</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14:paraId="0658157D">
            <w:pPr>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表2-1</w:t>
            </w:r>
            <w:r>
              <w:rPr>
                <w:rFonts w:hint="default" w:ascii="Times New Roman" w:hAnsi="Times New Roman" w:cs="Times New Roman"/>
                <w:b/>
                <w:bCs/>
                <w:color w:val="000000" w:themeColor="text1"/>
                <w:highlight w:val="none"/>
                <w:lang w:val="en-US" w:eastAsia="zh-CN"/>
                <w14:textFill>
                  <w14:solidFill>
                    <w14:schemeClr w14:val="tx1"/>
                  </w14:solidFill>
                </w14:textFill>
              </w:rPr>
              <w:t>2</w:t>
            </w:r>
            <w:r>
              <w:rPr>
                <w:rFonts w:hint="default" w:ascii="Times New Roman" w:hAnsi="Times New Roman" w:cs="Times New Roman"/>
                <w:b/>
                <w:bCs/>
                <w:color w:val="000000" w:themeColor="text1"/>
                <w:highlight w:val="none"/>
                <w14:textFill>
                  <w14:solidFill>
                    <w14:schemeClr w14:val="tx1"/>
                  </w14:solidFill>
                </w14:textFill>
              </w:rPr>
              <w:t xml:space="preserve">  项目主要生产设备一览表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4"/>
              <w:gridCol w:w="2056"/>
              <w:gridCol w:w="1759"/>
              <w:gridCol w:w="913"/>
              <w:gridCol w:w="1268"/>
              <w:gridCol w:w="1058"/>
            </w:tblGrid>
            <w:tr w14:paraId="4E735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C3D0C7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设备编号</w:t>
                  </w:r>
                </w:p>
              </w:tc>
              <w:tc>
                <w:tcPr>
                  <w:tcW w:w="2056" w:type="dxa"/>
                  <w:vAlign w:val="center"/>
                </w:tcPr>
                <w:p w14:paraId="4D130F1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设备名称</w:t>
                  </w:r>
                </w:p>
              </w:tc>
              <w:tc>
                <w:tcPr>
                  <w:tcW w:w="1759" w:type="dxa"/>
                  <w:vAlign w:val="center"/>
                </w:tcPr>
                <w:p w14:paraId="6F36962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型号规格</w:t>
                  </w:r>
                </w:p>
              </w:tc>
              <w:tc>
                <w:tcPr>
                  <w:tcW w:w="913" w:type="dxa"/>
                  <w:vAlign w:val="center"/>
                </w:tcPr>
                <w:p w14:paraId="1C2A79B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  量</w:t>
                  </w:r>
                </w:p>
              </w:tc>
              <w:tc>
                <w:tcPr>
                  <w:tcW w:w="1268" w:type="dxa"/>
                  <w:vAlign w:val="center"/>
                </w:tcPr>
                <w:p w14:paraId="248BE93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位置</w:t>
                  </w:r>
                </w:p>
              </w:tc>
              <w:tc>
                <w:tcPr>
                  <w:tcW w:w="1058" w:type="dxa"/>
                  <w:vAlign w:val="center"/>
                </w:tcPr>
                <w:p w14:paraId="267E183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备注</w:t>
                  </w:r>
                </w:p>
              </w:tc>
            </w:tr>
            <w:tr w14:paraId="10D29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92115F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ZYHJ-001</w:t>
                  </w:r>
                </w:p>
              </w:tc>
              <w:tc>
                <w:tcPr>
                  <w:tcW w:w="2056" w:type="dxa"/>
                  <w:vAlign w:val="center"/>
                </w:tcPr>
                <w:p w14:paraId="4554AE3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等离子切割机</w:t>
                  </w:r>
                </w:p>
              </w:tc>
              <w:tc>
                <w:tcPr>
                  <w:tcW w:w="1759" w:type="dxa"/>
                  <w:vAlign w:val="center"/>
                </w:tcPr>
                <w:p w14:paraId="5CACA675">
                  <w:pPr>
                    <w:jc w:val="center"/>
                    <w:rPr>
                      <w:rFonts w:hint="default" w:ascii="Times New Roman" w:hAnsi="Times New Roman" w:cs="Times New Roman"/>
                      <w:color w:val="000000" w:themeColor="text1"/>
                      <w:highlight w:val="none"/>
                      <w14:textFill>
                        <w14:solidFill>
                          <w14:schemeClr w14:val="tx1"/>
                        </w14:solidFill>
                      </w14:textFill>
                    </w:rPr>
                  </w:pPr>
                </w:p>
              </w:tc>
              <w:tc>
                <w:tcPr>
                  <w:tcW w:w="913" w:type="dxa"/>
                  <w:vAlign w:val="center"/>
                </w:tcPr>
                <w:p w14:paraId="667AC9F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0FA3056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7C13709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依托现有</w:t>
                  </w:r>
                </w:p>
              </w:tc>
            </w:tr>
            <w:tr w14:paraId="589D3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95166E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ZYHJ-002</w:t>
                  </w:r>
                </w:p>
              </w:tc>
              <w:tc>
                <w:tcPr>
                  <w:tcW w:w="2056" w:type="dxa"/>
                  <w:vAlign w:val="center"/>
                </w:tcPr>
                <w:p w14:paraId="42E4F83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等离子切割机</w:t>
                  </w:r>
                </w:p>
              </w:tc>
              <w:tc>
                <w:tcPr>
                  <w:tcW w:w="1759" w:type="dxa"/>
                  <w:vAlign w:val="center"/>
                </w:tcPr>
                <w:p w14:paraId="65134998">
                  <w:pPr>
                    <w:jc w:val="center"/>
                    <w:rPr>
                      <w:rFonts w:hint="default" w:ascii="Times New Roman" w:hAnsi="Times New Roman" w:cs="Times New Roman"/>
                      <w:color w:val="000000" w:themeColor="text1"/>
                      <w:highlight w:val="none"/>
                      <w14:textFill>
                        <w14:solidFill>
                          <w14:schemeClr w14:val="tx1"/>
                        </w14:solidFill>
                      </w14:textFill>
                    </w:rPr>
                  </w:pPr>
                </w:p>
              </w:tc>
              <w:tc>
                <w:tcPr>
                  <w:tcW w:w="913" w:type="dxa"/>
                  <w:vAlign w:val="center"/>
                </w:tcPr>
                <w:p w14:paraId="2FFB307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527F6D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7D8B007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5A71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3635A5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ZYHJ-003</w:t>
                  </w:r>
                </w:p>
              </w:tc>
              <w:tc>
                <w:tcPr>
                  <w:tcW w:w="2056" w:type="dxa"/>
                  <w:vAlign w:val="center"/>
                </w:tcPr>
                <w:p w14:paraId="358C68C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数控联动折弯机</w:t>
                  </w:r>
                </w:p>
              </w:tc>
              <w:tc>
                <w:tcPr>
                  <w:tcW w:w="1759" w:type="dxa"/>
                  <w:vAlign w:val="center"/>
                </w:tcPr>
                <w:p w14:paraId="669BAF1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HPK400/4000</w:t>
                  </w:r>
                </w:p>
              </w:tc>
              <w:tc>
                <w:tcPr>
                  <w:tcW w:w="913" w:type="dxa"/>
                  <w:vAlign w:val="center"/>
                </w:tcPr>
                <w:p w14:paraId="7D98222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5062F92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7FFC1B0F">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4A00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64B7E9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ZYHJ-004</w:t>
                  </w:r>
                </w:p>
              </w:tc>
              <w:tc>
                <w:tcPr>
                  <w:tcW w:w="2056" w:type="dxa"/>
                  <w:vAlign w:val="center"/>
                </w:tcPr>
                <w:p w14:paraId="4943F94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带锯床</w:t>
                  </w:r>
                </w:p>
              </w:tc>
              <w:tc>
                <w:tcPr>
                  <w:tcW w:w="1759" w:type="dxa"/>
                  <w:vAlign w:val="center"/>
                </w:tcPr>
                <w:p w14:paraId="4FBF59B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GB4050</w:t>
                  </w:r>
                </w:p>
              </w:tc>
              <w:tc>
                <w:tcPr>
                  <w:tcW w:w="913" w:type="dxa"/>
                  <w:vAlign w:val="center"/>
                </w:tcPr>
                <w:p w14:paraId="7AE2509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5739D19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602B9FD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2D9C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0B5B962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ZYHJ-005</w:t>
                  </w:r>
                </w:p>
              </w:tc>
              <w:tc>
                <w:tcPr>
                  <w:tcW w:w="2056" w:type="dxa"/>
                  <w:vAlign w:val="center"/>
                </w:tcPr>
                <w:p w14:paraId="539B7EC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带锯床</w:t>
                  </w:r>
                </w:p>
              </w:tc>
              <w:tc>
                <w:tcPr>
                  <w:tcW w:w="1759" w:type="dxa"/>
                  <w:vAlign w:val="center"/>
                </w:tcPr>
                <w:p w14:paraId="0F5C604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GB4028*40</w:t>
                  </w:r>
                </w:p>
              </w:tc>
              <w:tc>
                <w:tcPr>
                  <w:tcW w:w="913" w:type="dxa"/>
                  <w:vAlign w:val="center"/>
                </w:tcPr>
                <w:p w14:paraId="65E5790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2F60CC1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2F82AAA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83AB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76C2B2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ZYHJ-006</w:t>
                  </w:r>
                </w:p>
              </w:tc>
              <w:tc>
                <w:tcPr>
                  <w:tcW w:w="2056" w:type="dxa"/>
                  <w:vAlign w:val="center"/>
                </w:tcPr>
                <w:p w14:paraId="4BC0386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四柱式万能液压机</w:t>
                  </w:r>
                </w:p>
              </w:tc>
              <w:tc>
                <w:tcPr>
                  <w:tcW w:w="1759" w:type="dxa"/>
                  <w:vAlign w:val="center"/>
                </w:tcPr>
                <w:p w14:paraId="2841B5D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YB32-500</w:t>
                  </w:r>
                </w:p>
              </w:tc>
              <w:tc>
                <w:tcPr>
                  <w:tcW w:w="913" w:type="dxa"/>
                  <w:vAlign w:val="center"/>
                </w:tcPr>
                <w:p w14:paraId="7BE8F54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33179E2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2C1A4E4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D281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EE05EC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ZYHJ-007</w:t>
                  </w:r>
                </w:p>
              </w:tc>
              <w:tc>
                <w:tcPr>
                  <w:tcW w:w="2056" w:type="dxa"/>
                  <w:vAlign w:val="center"/>
                </w:tcPr>
                <w:p w14:paraId="10A0E1C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0702F90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181716B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48CF60A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56BB5E9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3E41D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5DE0DD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ZYHJ-008</w:t>
                  </w:r>
                </w:p>
              </w:tc>
              <w:tc>
                <w:tcPr>
                  <w:tcW w:w="2056" w:type="dxa"/>
                  <w:vAlign w:val="center"/>
                </w:tcPr>
                <w:p w14:paraId="22C6154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双梁桥式起重机</w:t>
                  </w:r>
                </w:p>
              </w:tc>
              <w:tc>
                <w:tcPr>
                  <w:tcW w:w="1759" w:type="dxa"/>
                  <w:vAlign w:val="center"/>
                </w:tcPr>
                <w:p w14:paraId="242AF74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20吨</w:t>
                  </w:r>
                </w:p>
              </w:tc>
              <w:tc>
                <w:tcPr>
                  <w:tcW w:w="913" w:type="dxa"/>
                  <w:vAlign w:val="center"/>
                </w:tcPr>
                <w:p w14:paraId="1F5DE26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6FC40B7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4EF8EA50">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7303A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E2DF2F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ZYHJ-009</w:t>
                  </w:r>
                </w:p>
              </w:tc>
              <w:tc>
                <w:tcPr>
                  <w:tcW w:w="2056" w:type="dxa"/>
                  <w:vAlign w:val="center"/>
                </w:tcPr>
                <w:p w14:paraId="43CEFED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77145E5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63742BA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ABCD0F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38AA296A">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E18F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6E431A2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ZYHJ-010</w:t>
                  </w:r>
                </w:p>
              </w:tc>
              <w:tc>
                <w:tcPr>
                  <w:tcW w:w="2056" w:type="dxa"/>
                  <w:vAlign w:val="center"/>
                </w:tcPr>
                <w:p w14:paraId="1F4EAFB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等离子管道切割机</w:t>
                  </w:r>
                </w:p>
              </w:tc>
              <w:tc>
                <w:tcPr>
                  <w:tcW w:w="1759" w:type="dxa"/>
                  <w:vAlign w:val="center"/>
                </w:tcPr>
                <w:p w14:paraId="28B7FB3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MS-600</w:t>
                  </w:r>
                </w:p>
              </w:tc>
              <w:tc>
                <w:tcPr>
                  <w:tcW w:w="913" w:type="dxa"/>
                  <w:vAlign w:val="center"/>
                </w:tcPr>
                <w:p w14:paraId="352C360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C20AED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0CE025D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E729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6F727FA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ZYHJ-011</w:t>
                  </w:r>
                </w:p>
              </w:tc>
              <w:tc>
                <w:tcPr>
                  <w:tcW w:w="2056" w:type="dxa"/>
                  <w:vAlign w:val="center"/>
                </w:tcPr>
                <w:p w14:paraId="1697271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三辊卷板机</w:t>
                  </w:r>
                </w:p>
              </w:tc>
              <w:tc>
                <w:tcPr>
                  <w:tcW w:w="1759" w:type="dxa"/>
                  <w:vAlign w:val="center"/>
                </w:tcPr>
                <w:p w14:paraId="3FC2A07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3600</w:t>
                  </w:r>
                </w:p>
              </w:tc>
              <w:tc>
                <w:tcPr>
                  <w:tcW w:w="913" w:type="dxa"/>
                  <w:vAlign w:val="center"/>
                </w:tcPr>
                <w:p w14:paraId="28923D7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0D4D927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1号门</w:t>
                  </w:r>
                </w:p>
              </w:tc>
              <w:tc>
                <w:tcPr>
                  <w:tcW w:w="1058" w:type="dxa"/>
                  <w:vAlign w:val="center"/>
                </w:tcPr>
                <w:p w14:paraId="73F9BA7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20748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1DFCFC8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ZYHJ-012</w:t>
                  </w:r>
                </w:p>
              </w:tc>
              <w:tc>
                <w:tcPr>
                  <w:tcW w:w="2056" w:type="dxa"/>
                  <w:vAlign w:val="center"/>
                </w:tcPr>
                <w:p w14:paraId="0D6FF15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1A89DEC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3634927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19E4E4E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7D2F73A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589FA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109B48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ZYHJ-013</w:t>
                  </w:r>
                </w:p>
              </w:tc>
              <w:tc>
                <w:tcPr>
                  <w:tcW w:w="2056" w:type="dxa"/>
                  <w:vAlign w:val="center"/>
                </w:tcPr>
                <w:p w14:paraId="5C5E56F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双梁桥式起重机</w:t>
                  </w:r>
                </w:p>
              </w:tc>
              <w:tc>
                <w:tcPr>
                  <w:tcW w:w="1759" w:type="dxa"/>
                  <w:vAlign w:val="center"/>
                </w:tcPr>
                <w:p w14:paraId="2A3BDC2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20吨</w:t>
                  </w:r>
                </w:p>
              </w:tc>
              <w:tc>
                <w:tcPr>
                  <w:tcW w:w="913" w:type="dxa"/>
                  <w:vAlign w:val="center"/>
                </w:tcPr>
                <w:p w14:paraId="5578F55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1C69078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0451FE9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46D8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002B60B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ZYHJ-014</w:t>
                  </w:r>
                </w:p>
              </w:tc>
              <w:tc>
                <w:tcPr>
                  <w:tcW w:w="2056" w:type="dxa"/>
                  <w:vAlign w:val="center"/>
                </w:tcPr>
                <w:p w14:paraId="1B2A667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44A97AC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34D74E0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42DA1FF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4508248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849C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58B1715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ZYHJ-015</w:t>
                  </w:r>
                </w:p>
              </w:tc>
              <w:tc>
                <w:tcPr>
                  <w:tcW w:w="2056" w:type="dxa"/>
                  <w:vAlign w:val="center"/>
                </w:tcPr>
                <w:p w14:paraId="2A55045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1A948E9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502F22E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3B5ACEE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25C0961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5424B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064FCA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ZYHJ-016</w:t>
                  </w:r>
                </w:p>
              </w:tc>
              <w:tc>
                <w:tcPr>
                  <w:tcW w:w="2056" w:type="dxa"/>
                  <w:vAlign w:val="center"/>
                </w:tcPr>
                <w:p w14:paraId="6D3EA40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1728AF3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0ED77E4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C13DF0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215EFD36">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2C9B8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0993D5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ZYHJ-017</w:t>
                  </w:r>
                </w:p>
              </w:tc>
              <w:tc>
                <w:tcPr>
                  <w:tcW w:w="2056" w:type="dxa"/>
                  <w:vAlign w:val="center"/>
                </w:tcPr>
                <w:p w14:paraId="31D2454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6AB8DAD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50B00B0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0CA2CEE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5CE732FA">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3AADA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6552C4D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ZYHJ-018</w:t>
                  </w:r>
                </w:p>
              </w:tc>
              <w:tc>
                <w:tcPr>
                  <w:tcW w:w="2056" w:type="dxa"/>
                  <w:vAlign w:val="center"/>
                </w:tcPr>
                <w:p w14:paraId="3355F32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035DD57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41D410B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F91794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0AE6288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7858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242D1F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ZYHJ-019</w:t>
                  </w:r>
                </w:p>
              </w:tc>
              <w:tc>
                <w:tcPr>
                  <w:tcW w:w="2056" w:type="dxa"/>
                  <w:vAlign w:val="center"/>
                </w:tcPr>
                <w:p w14:paraId="487D040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7F0FAB6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1730414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3144073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19D4E5EE">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3973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90BA76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ZYHJ-020</w:t>
                  </w:r>
                </w:p>
              </w:tc>
              <w:tc>
                <w:tcPr>
                  <w:tcW w:w="2056" w:type="dxa"/>
                  <w:vAlign w:val="center"/>
                </w:tcPr>
                <w:p w14:paraId="4F21AA8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5997D8F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316BEA2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1402B34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46A3C3B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57516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B872D9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ZYHJ-021</w:t>
                  </w:r>
                </w:p>
              </w:tc>
              <w:tc>
                <w:tcPr>
                  <w:tcW w:w="2056" w:type="dxa"/>
                  <w:vAlign w:val="center"/>
                </w:tcPr>
                <w:p w14:paraId="7BEDA8A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松下气体保护焊</w:t>
                  </w:r>
                </w:p>
              </w:tc>
              <w:tc>
                <w:tcPr>
                  <w:tcW w:w="1759" w:type="dxa"/>
                  <w:vAlign w:val="center"/>
                </w:tcPr>
                <w:p w14:paraId="676B75C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KPII-500</w:t>
                  </w:r>
                </w:p>
              </w:tc>
              <w:tc>
                <w:tcPr>
                  <w:tcW w:w="913" w:type="dxa"/>
                  <w:vAlign w:val="center"/>
                </w:tcPr>
                <w:p w14:paraId="2092BAE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8</w:t>
                  </w:r>
                </w:p>
              </w:tc>
              <w:tc>
                <w:tcPr>
                  <w:tcW w:w="1268" w:type="dxa"/>
                  <w:vAlign w:val="center"/>
                </w:tcPr>
                <w:p w14:paraId="3818CE5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2AB0AFB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B1CE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69CB8B9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ZYHJ-022</w:t>
                  </w:r>
                </w:p>
              </w:tc>
              <w:tc>
                <w:tcPr>
                  <w:tcW w:w="2056" w:type="dxa"/>
                  <w:vAlign w:val="center"/>
                </w:tcPr>
                <w:p w14:paraId="40B7307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金威上气刨机</w:t>
                  </w:r>
                </w:p>
              </w:tc>
              <w:tc>
                <w:tcPr>
                  <w:tcW w:w="1759" w:type="dxa"/>
                  <w:vAlign w:val="center"/>
                </w:tcPr>
                <w:p w14:paraId="4ECB34C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ZX7-630</w:t>
                  </w:r>
                </w:p>
              </w:tc>
              <w:tc>
                <w:tcPr>
                  <w:tcW w:w="913" w:type="dxa"/>
                  <w:vAlign w:val="center"/>
                </w:tcPr>
                <w:p w14:paraId="64B561B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w:t>
                  </w:r>
                </w:p>
              </w:tc>
              <w:tc>
                <w:tcPr>
                  <w:tcW w:w="1268" w:type="dxa"/>
                  <w:vAlign w:val="center"/>
                </w:tcPr>
                <w:p w14:paraId="1D72304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40B3C1C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2BFF6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E4CBB8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ZYHJ-023</w:t>
                  </w:r>
                </w:p>
              </w:tc>
              <w:tc>
                <w:tcPr>
                  <w:tcW w:w="2056" w:type="dxa"/>
                  <w:vAlign w:val="center"/>
                </w:tcPr>
                <w:p w14:paraId="50C35DC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维尔泰克气体保护焊</w:t>
                  </w:r>
                </w:p>
              </w:tc>
              <w:tc>
                <w:tcPr>
                  <w:tcW w:w="1759" w:type="dxa"/>
                  <w:vAlign w:val="center"/>
                </w:tcPr>
                <w:p w14:paraId="71F22B9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NB-500</w:t>
                  </w:r>
                </w:p>
              </w:tc>
              <w:tc>
                <w:tcPr>
                  <w:tcW w:w="913" w:type="dxa"/>
                  <w:vAlign w:val="center"/>
                </w:tcPr>
                <w:p w14:paraId="727ED01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w:t>
                  </w:r>
                </w:p>
              </w:tc>
              <w:tc>
                <w:tcPr>
                  <w:tcW w:w="1268" w:type="dxa"/>
                  <w:vAlign w:val="center"/>
                </w:tcPr>
                <w:p w14:paraId="0602D26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2号门</w:t>
                  </w:r>
                </w:p>
              </w:tc>
              <w:tc>
                <w:tcPr>
                  <w:tcW w:w="1058" w:type="dxa"/>
                  <w:vAlign w:val="center"/>
                </w:tcPr>
                <w:p w14:paraId="354ED2F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67F5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01477CC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ZYHJ-024</w:t>
                  </w:r>
                </w:p>
              </w:tc>
              <w:tc>
                <w:tcPr>
                  <w:tcW w:w="2056" w:type="dxa"/>
                  <w:vAlign w:val="center"/>
                </w:tcPr>
                <w:p w14:paraId="2E89F83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7E052D3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20吨</w:t>
                  </w:r>
                </w:p>
              </w:tc>
              <w:tc>
                <w:tcPr>
                  <w:tcW w:w="913" w:type="dxa"/>
                  <w:vAlign w:val="center"/>
                </w:tcPr>
                <w:p w14:paraId="27A4F31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E0E492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0519B69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F1E1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1F2B62F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ZYHJ-025</w:t>
                  </w:r>
                </w:p>
              </w:tc>
              <w:tc>
                <w:tcPr>
                  <w:tcW w:w="2056" w:type="dxa"/>
                  <w:vAlign w:val="center"/>
                </w:tcPr>
                <w:p w14:paraId="5E813BB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双梁桥式起重机</w:t>
                  </w:r>
                </w:p>
              </w:tc>
              <w:tc>
                <w:tcPr>
                  <w:tcW w:w="1759" w:type="dxa"/>
                  <w:vAlign w:val="center"/>
                </w:tcPr>
                <w:p w14:paraId="1EDD5B2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50吨</w:t>
                  </w:r>
                </w:p>
              </w:tc>
              <w:tc>
                <w:tcPr>
                  <w:tcW w:w="913" w:type="dxa"/>
                  <w:vAlign w:val="center"/>
                </w:tcPr>
                <w:p w14:paraId="2CFE1E4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2BDBD44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2B6C26E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0E54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09469D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ZYHJ-026</w:t>
                  </w:r>
                </w:p>
              </w:tc>
              <w:tc>
                <w:tcPr>
                  <w:tcW w:w="2056" w:type="dxa"/>
                  <w:vAlign w:val="center"/>
                </w:tcPr>
                <w:p w14:paraId="08AE73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双梁桥式起重机</w:t>
                  </w:r>
                </w:p>
              </w:tc>
              <w:tc>
                <w:tcPr>
                  <w:tcW w:w="1759" w:type="dxa"/>
                  <w:vAlign w:val="center"/>
                </w:tcPr>
                <w:p w14:paraId="278411E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20吨</w:t>
                  </w:r>
                </w:p>
              </w:tc>
              <w:tc>
                <w:tcPr>
                  <w:tcW w:w="913" w:type="dxa"/>
                  <w:vAlign w:val="center"/>
                </w:tcPr>
                <w:p w14:paraId="10AFC55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4232DFE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34C411A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B88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5791D49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ZYHJ-027</w:t>
                  </w:r>
                </w:p>
              </w:tc>
              <w:tc>
                <w:tcPr>
                  <w:tcW w:w="2056" w:type="dxa"/>
                  <w:vAlign w:val="center"/>
                </w:tcPr>
                <w:p w14:paraId="1095A4E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烤漆房</w:t>
                  </w:r>
                </w:p>
              </w:tc>
              <w:tc>
                <w:tcPr>
                  <w:tcW w:w="1759" w:type="dxa"/>
                  <w:vAlign w:val="center"/>
                </w:tcPr>
                <w:p w14:paraId="57E44261">
                  <w:pPr>
                    <w:jc w:val="center"/>
                    <w:rPr>
                      <w:rFonts w:hint="default" w:ascii="Times New Roman" w:hAnsi="Times New Roman" w:cs="Times New Roman"/>
                      <w:color w:val="000000" w:themeColor="text1"/>
                      <w:highlight w:val="none"/>
                      <w14:textFill>
                        <w14:solidFill>
                          <w14:schemeClr w14:val="tx1"/>
                        </w14:solidFill>
                      </w14:textFill>
                    </w:rPr>
                  </w:pPr>
                </w:p>
              </w:tc>
              <w:tc>
                <w:tcPr>
                  <w:tcW w:w="913" w:type="dxa"/>
                  <w:vAlign w:val="center"/>
                </w:tcPr>
                <w:p w14:paraId="6AD364D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4AD18C7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64076A5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7C246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BBAAA2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ZYHJ-028</w:t>
                  </w:r>
                </w:p>
              </w:tc>
              <w:tc>
                <w:tcPr>
                  <w:tcW w:w="2056" w:type="dxa"/>
                  <w:vAlign w:val="center"/>
                </w:tcPr>
                <w:p w14:paraId="431F9F3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电烤喷漆房</w:t>
                  </w:r>
                </w:p>
              </w:tc>
              <w:tc>
                <w:tcPr>
                  <w:tcW w:w="1759" w:type="dxa"/>
                  <w:vAlign w:val="center"/>
                </w:tcPr>
                <w:p w14:paraId="2F2B1E0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12*6*5</w:t>
                  </w:r>
                </w:p>
              </w:tc>
              <w:tc>
                <w:tcPr>
                  <w:tcW w:w="913" w:type="dxa"/>
                  <w:vAlign w:val="center"/>
                </w:tcPr>
                <w:p w14:paraId="242AC1D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175C094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40DD12B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223F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1BC1253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ZYHJ-029</w:t>
                  </w:r>
                </w:p>
              </w:tc>
              <w:tc>
                <w:tcPr>
                  <w:tcW w:w="2056" w:type="dxa"/>
                  <w:vAlign w:val="center"/>
                </w:tcPr>
                <w:p w14:paraId="5BBC81A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自制抛丸室</w:t>
                  </w:r>
                </w:p>
              </w:tc>
              <w:tc>
                <w:tcPr>
                  <w:tcW w:w="1759" w:type="dxa"/>
                  <w:vAlign w:val="center"/>
                </w:tcPr>
                <w:p w14:paraId="69C77827">
                  <w:pPr>
                    <w:jc w:val="center"/>
                    <w:rPr>
                      <w:rFonts w:hint="default" w:ascii="Times New Roman" w:hAnsi="Times New Roman" w:cs="Times New Roman"/>
                      <w:color w:val="000000" w:themeColor="text1"/>
                      <w:highlight w:val="none"/>
                      <w14:textFill>
                        <w14:solidFill>
                          <w14:schemeClr w14:val="tx1"/>
                        </w14:solidFill>
                      </w14:textFill>
                    </w:rPr>
                  </w:pPr>
                </w:p>
              </w:tc>
              <w:tc>
                <w:tcPr>
                  <w:tcW w:w="913" w:type="dxa"/>
                  <w:vAlign w:val="center"/>
                </w:tcPr>
                <w:p w14:paraId="245953C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11EEAF9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0CD2E83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DC5B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94" w:type="dxa"/>
                  <w:vAlign w:val="center"/>
                </w:tcPr>
                <w:p w14:paraId="08EDE64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ZYHJ-030</w:t>
                  </w:r>
                </w:p>
              </w:tc>
              <w:tc>
                <w:tcPr>
                  <w:tcW w:w="2056" w:type="dxa"/>
                  <w:vAlign w:val="center"/>
                </w:tcPr>
                <w:p w14:paraId="29A8EAB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油漆打磨除尘设备</w:t>
                  </w:r>
                </w:p>
              </w:tc>
              <w:tc>
                <w:tcPr>
                  <w:tcW w:w="1759" w:type="dxa"/>
                  <w:vAlign w:val="center"/>
                </w:tcPr>
                <w:p w14:paraId="50407685">
                  <w:pPr>
                    <w:jc w:val="center"/>
                    <w:rPr>
                      <w:rFonts w:hint="default" w:ascii="Times New Roman" w:hAnsi="Times New Roman" w:cs="Times New Roman"/>
                      <w:color w:val="000000" w:themeColor="text1"/>
                      <w:highlight w:val="none"/>
                      <w14:textFill>
                        <w14:solidFill>
                          <w14:schemeClr w14:val="tx1"/>
                        </w14:solidFill>
                      </w14:textFill>
                    </w:rPr>
                  </w:pPr>
                </w:p>
              </w:tc>
              <w:tc>
                <w:tcPr>
                  <w:tcW w:w="913" w:type="dxa"/>
                  <w:vAlign w:val="center"/>
                </w:tcPr>
                <w:p w14:paraId="540FAD9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882B16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48DC7D7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A61D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62856E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ZYHJ-031</w:t>
                  </w:r>
                </w:p>
              </w:tc>
              <w:tc>
                <w:tcPr>
                  <w:tcW w:w="2056" w:type="dxa"/>
                  <w:vAlign w:val="center"/>
                </w:tcPr>
                <w:p w14:paraId="449A07C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螺杆泵空压机</w:t>
                  </w:r>
                </w:p>
              </w:tc>
              <w:tc>
                <w:tcPr>
                  <w:tcW w:w="1759" w:type="dxa"/>
                  <w:vAlign w:val="center"/>
                </w:tcPr>
                <w:p w14:paraId="6429117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LEK18.5YCBP</w:t>
                  </w:r>
                </w:p>
              </w:tc>
              <w:tc>
                <w:tcPr>
                  <w:tcW w:w="913" w:type="dxa"/>
                  <w:vAlign w:val="center"/>
                </w:tcPr>
                <w:p w14:paraId="168F061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07E8E19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0C224947">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5F60A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62F818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ZYHJ-032</w:t>
                  </w:r>
                </w:p>
              </w:tc>
              <w:tc>
                <w:tcPr>
                  <w:tcW w:w="2056" w:type="dxa"/>
                  <w:vAlign w:val="center"/>
                </w:tcPr>
                <w:p w14:paraId="57897CD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螺杆泵空压机</w:t>
                  </w:r>
                </w:p>
              </w:tc>
              <w:tc>
                <w:tcPr>
                  <w:tcW w:w="1759" w:type="dxa"/>
                  <w:vAlign w:val="center"/>
                </w:tcPr>
                <w:p w14:paraId="50886CE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BMVF37</w:t>
                  </w:r>
                </w:p>
              </w:tc>
              <w:tc>
                <w:tcPr>
                  <w:tcW w:w="913" w:type="dxa"/>
                  <w:vAlign w:val="center"/>
                </w:tcPr>
                <w:p w14:paraId="1CC59C8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6411AD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152C4BB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7B675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1A80A5D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ZYHJ-033</w:t>
                  </w:r>
                </w:p>
              </w:tc>
              <w:tc>
                <w:tcPr>
                  <w:tcW w:w="2056" w:type="dxa"/>
                  <w:vAlign w:val="center"/>
                </w:tcPr>
                <w:p w14:paraId="5466C74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螺杆泵空压机</w:t>
                  </w:r>
                </w:p>
              </w:tc>
              <w:tc>
                <w:tcPr>
                  <w:tcW w:w="1759" w:type="dxa"/>
                  <w:vAlign w:val="center"/>
                </w:tcPr>
                <w:p w14:paraId="05F8B68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BMVF37</w:t>
                  </w:r>
                </w:p>
              </w:tc>
              <w:tc>
                <w:tcPr>
                  <w:tcW w:w="913" w:type="dxa"/>
                  <w:vAlign w:val="center"/>
                </w:tcPr>
                <w:p w14:paraId="317F45E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AA9F8E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3号门</w:t>
                  </w:r>
                </w:p>
              </w:tc>
              <w:tc>
                <w:tcPr>
                  <w:tcW w:w="1058" w:type="dxa"/>
                  <w:vAlign w:val="center"/>
                </w:tcPr>
                <w:p w14:paraId="65BF6A8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C1A3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77E56C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ZYHJ-034</w:t>
                  </w:r>
                </w:p>
              </w:tc>
              <w:tc>
                <w:tcPr>
                  <w:tcW w:w="2056" w:type="dxa"/>
                  <w:vAlign w:val="center"/>
                </w:tcPr>
                <w:p w14:paraId="54D4D48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双梁桥式起重机</w:t>
                  </w:r>
                </w:p>
              </w:tc>
              <w:tc>
                <w:tcPr>
                  <w:tcW w:w="1759" w:type="dxa"/>
                  <w:vAlign w:val="center"/>
                </w:tcPr>
                <w:p w14:paraId="03E9577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50吨</w:t>
                  </w:r>
                </w:p>
              </w:tc>
              <w:tc>
                <w:tcPr>
                  <w:tcW w:w="913" w:type="dxa"/>
                  <w:vAlign w:val="center"/>
                </w:tcPr>
                <w:p w14:paraId="29CE5591">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6BB5588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2711ACA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3DC12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3F9489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ZYHJ-035</w:t>
                  </w:r>
                </w:p>
              </w:tc>
              <w:tc>
                <w:tcPr>
                  <w:tcW w:w="2056" w:type="dxa"/>
                  <w:vAlign w:val="center"/>
                </w:tcPr>
                <w:p w14:paraId="4D6231B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4B199B5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3069F18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6B63074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511C179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372CB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6E6829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ZYHJ-036</w:t>
                  </w:r>
                </w:p>
              </w:tc>
              <w:tc>
                <w:tcPr>
                  <w:tcW w:w="2056" w:type="dxa"/>
                  <w:vAlign w:val="center"/>
                </w:tcPr>
                <w:p w14:paraId="442C3DD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单梁起重机</w:t>
                  </w:r>
                </w:p>
              </w:tc>
              <w:tc>
                <w:tcPr>
                  <w:tcW w:w="1759" w:type="dxa"/>
                  <w:vAlign w:val="center"/>
                </w:tcPr>
                <w:p w14:paraId="704DEF7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10吨</w:t>
                  </w:r>
                </w:p>
              </w:tc>
              <w:tc>
                <w:tcPr>
                  <w:tcW w:w="913" w:type="dxa"/>
                  <w:vAlign w:val="center"/>
                </w:tcPr>
                <w:p w14:paraId="78E7D00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024F19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54540AB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72DE0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A8272A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ZYHJ-037</w:t>
                  </w:r>
                </w:p>
              </w:tc>
              <w:tc>
                <w:tcPr>
                  <w:tcW w:w="2056" w:type="dxa"/>
                  <w:vAlign w:val="center"/>
                </w:tcPr>
                <w:p w14:paraId="09742F6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火焰切割机</w:t>
                  </w:r>
                </w:p>
              </w:tc>
              <w:tc>
                <w:tcPr>
                  <w:tcW w:w="1759" w:type="dxa"/>
                  <w:vAlign w:val="center"/>
                </w:tcPr>
                <w:p w14:paraId="494C577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GSII6.3*4-H2</w:t>
                  </w:r>
                </w:p>
              </w:tc>
              <w:tc>
                <w:tcPr>
                  <w:tcW w:w="913" w:type="dxa"/>
                  <w:vAlign w:val="center"/>
                </w:tcPr>
                <w:p w14:paraId="10C5500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C9BA21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79A610C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BE6E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A22075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ZYHJ-038</w:t>
                  </w:r>
                </w:p>
              </w:tc>
              <w:tc>
                <w:tcPr>
                  <w:tcW w:w="2056" w:type="dxa"/>
                  <w:vAlign w:val="center"/>
                </w:tcPr>
                <w:p w14:paraId="1680BA6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火焰切割机</w:t>
                  </w:r>
                </w:p>
              </w:tc>
              <w:tc>
                <w:tcPr>
                  <w:tcW w:w="1759" w:type="dxa"/>
                  <w:vAlign w:val="center"/>
                </w:tcPr>
                <w:p w14:paraId="637C99F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GSII6.3*56-H2</w:t>
                  </w:r>
                </w:p>
              </w:tc>
              <w:tc>
                <w:tcPr>
                  <w:tcW w:w="913" w:type="dxa"/>
                  <w:vAlign w:val="center"/>
                </w:tcPr>
                <w:p w14:paraId="3E2ADB8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0D34216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23F367EF">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57CD8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75858DF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ZYHJ-039</w:t>
                  </w:r>
                </w:p>
              </w:tc>
              <w:tc>
                <w:tcPr>
                  <w:tcW w:w="2056" w:type="dxa"/>
                  <w:vAlign w:val="center"/>
                </w:tcPr>
                <w:p w14:paraId="1FA55AC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2598A14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6B6F9C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33C62D9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54D0580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4B9C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01D8A88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ZYHJ-040</w:t>
                  </w:r>
                </w:p>
              </w:tc>
              <w:tc>
                <w:tcPr>
                  <w:tcW w:w="2056" w:type="dxa"/>
                  <w:vAlign w:val="center"/>
                </w:tcPr>
                <w:p w14:paraId="6FC6B42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34FA76A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07A74C9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38315DB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58E45BA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265AE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E97387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ZYHJ-041</w:t>
                  </w:r>
                </w:p>
              </w:tc>
              <w:tc>
                <w:tcPr>
                  <w:tcW w:w="2056" w:type="dxa"/>
                  <w:vAlign w:val="center"/>
                </w:tcPr>
                <w:p w14:paraId="1A5D51F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091E67C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6E80A24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57DE34D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029EEF9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784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08768D9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ZYHJ-042</w:t>
                  </w:r>
                </w:p>
              </w:tc>
              <w:tc>
                <w:tcPr>
                  <w:tcW w:w="2056" w:type="dxa"/>
                  <w:vAlign w:val="center"/>
                </w:tcPr>
                <w:p w14:paraId="472213F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门式起重机</w:t>
                  </w:r>
                </w:p>
              </w:tc>
              <w:tc>
                <w:tcPr>
                  <w:tcW w:w="1759" w:type="dxa"/>
                  <w:vAlign w:val="center"/>
                </w:tcPr>
                <w:p w14:paraId="0164191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2吨</w:t>
                  </w:r>
                </w:p>
              </w:tc>
              <w:tc>
                <w:tcPr>
                  <w:tcW w:w="913" w:type="dxa"/>
                  <w:vAlign w:val="center"/>
                </w:tcPr>
                <w:p w14:paraId="78222EB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5267DDC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75B40DD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099ED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513C9E7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ZYHJ-043</w:t>
                  </w:r>
                </w:p>
              </w:tc>
              <w:tc>
                <w:tcPr>
                  <w:tcW w:w="2056" w:type="dxa"/>
                  <w:vAlign w:val="center"/>
                </w:tcPr>
                <w:p w14:paraId="1D98F82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松下气体保护焊</w:t>
                  </w:r>
                </w:p>
              </w:tc>
              <w:tc>
                <w:tcPr>
                  <w:tcW w:w="1759" w:type="dxa"/>
                  <w:vAlign w:val="center"/>
                </w:tcPr>
                <w:p w14:paraId="1075BD3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KPII-500</w:t>
                  </w:r>
                </w:p>
              </w:tc>
              <w:tc>
                <w:tcPr>
                  <w:tcW w:w="913" w:type="dxa"/>
                  <w:vAlign w:val="center"/>
                </w:tcPr>
                <w:p w14:paraId="0FE91C9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w:t>
                  </w:r>
                </w:p>
              </w:tc>
              <w:tc>
                <w:tcPr>
                  <w:tcW w:w="1268" w:type="dxa"/>
                  <w:vAlign w:val="center"/>
                </w:tcPr>
                <w:p w14:paraId="7CFB4B8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4F8DAFD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17A5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DDA8AE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ZYHJ-044</w:t>
                  </w:r>
                </w:p>
              </w:tc>
              <w:tc>
                <w:tcPr>
                  <w:tcW w:w="2056" w:type="dxa"/>
                  <w:vAlign w:val="center"/>
                </w:tcPr>
                <w:p w14:paraId="340FAB9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金威上气刨机</w:t>
                  </w:r>
                </w:p>
              </w:tc>
              <w:tc>
                <w:tcPr>
                  <w:tcW w:w="1759" w:type="dxa"/>
                  <w:vAlign w:val="center"/>
                </w:tcPr>
                <w:p w14:paraId="58369A5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ZX7-630</w:t>
                  </w:r>
                </w:p>
              </w:tc>
              <w:tc>
                <w:tcPr>
                  <w:tcW w:w="913" w:type="dxa"/>
                  <w:vAlign w:val="center"/>
                </w:tcPr>
                <w:p w14:paraId="41CCF22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6E735CA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5AB61DE6">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2A105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555E30D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ZYHJ-045</w:t>
                  </w:r>
                </w:p>
              </w:tc>
              <w:tc>
                <w:tcPr>
                  <w:tcW w:w="2056" w:type="dxa"/>
                  <w:vAlign w:val="center"/>
                </w:tcPr>
                <w:p w14:paraId="1983D5E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维尔泰克气体保护焊</w:t>
                  </w:r>
                </w:p>
              </w:tc>
              <w:tc>
                <w:tcPr>
                  <w:tcW w:w="1759" w:type="dxa"/>
                  <w:vAlign w:val="center"/>
                </w:tcPr>
                <w:p w14:paraId="71B21B8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NB-500</w:t>
                  </w:r>
                </w:p>
              </w:tc>
              <w:tc>
                <w:tcPr>
                  <w:tcW w:w="913" w:type="dxa"/>
                  <w:vAlign w:val="center"/>
                </w:tcPr>
                <w:p w14:paraId="58D688EB">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w:t>
                  </w:r>
                </w:p>
              </w:tc>
              <w:tc>
                <w:tcPr>
                  <w:tcW w:w="1268" w:type="dxa"/>
                  <w:vAlign w:val="center"/>
                </w:tcPr>
                <w:p w14:paraId="394F83D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3A820BE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61A1F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F43467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ZYHJ-046</w:t>
                  </w:r>
                </w:p>
              </w:tc>
              <w:tc>
                <w:tcPr>
                  <w:tcW w:w="2056" w:type="dxa"/>
                  <w:vAlign w:val="center"/>
                </w:tcPr>
                <w:p w14:paraId="62F2742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松下气体保护焊</w:t>
                  </w:r>
                </w:p>
              </w:tc>
              <w:tc>
                <w:tcPr>
                  <w:tcW w:w="1759" w:type="dxa"/>
                  <w:vAlign w:val="center"/>
                </w:tcPr>
                <w:p w14:paraId="0A5FF0B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KH350</w:t>
                  </w:r>
                </w:p>
              </w:tc>
              <w:tc>
                <w:tcPr>
                  <w:tcW w:w="913" w:type="dxa"/>
                  <w:vAlign w:val="center"/>
                </w:tcPr>
                <w:p w14:paraId="1DA2547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1268" w:type="dxa"/>
                  <w:vAlign w:val="center"/>
                </w:tcPr>
                <w:p w14:paraId="778EB3E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4号门</w:t>
                  </w:r>
                </w:p>
              </w:tc>
              <w:tc>
                <w:tcPr>
                  <w:tcW w:w="1058" w:type="dxa"/>
                  <w:vAlign w:val="center"/>
                </w:tcPr>
                <w:p w14:paraId="389906A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依托现有</w:t>
                  </w:r>
                </w:p>
              </w:tc>
            </w:tr>
            <w:tr w14:paraId="3444C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1ED882B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ZYHJ-047</w:t>
                  </w:r>
                </w:p>
              </w:tc>
              <w:tc>
                <w:tcPr>
                  <w:tcW w:w="2056" w:type="dxa"/>
                  <w:vAlign w:val="center"/>
                </w:tcPr>
                <w:p w14:paraId="731BFF18">
                  <w:pPr>
                    <w:widowControl/>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活性炭吸附+催化燃烧变频风机工业涂装废气综合治理系统</w:t>
                  </w:r>
                </w:p>
              </w:tc>
              <w:tc>
                <w:tcPr>
                  <w:tcW w:w="1759" w:type="dxa"/>
                  <w:vAlign w:val="center"/>
                </w:tcPr>
                <w:p w14:paraId="141640A5">
                  <w:pPr>
                    <w:widowControl/>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风量48000m</w:t>
                  </w:r>
                  <w:r>
                    <w:rPr>
                      <w:rFonts w:hint="default" w:ascii="Times New Roman" w:hAnsi="Times New Roman" w:cs="Times New Roman"/>
                      <w:color w:val="000000" w:themeColor="text1"/>
                      <w:kern w:val="0"/>
                      <w:szCs w:val="21"/>
                      <w:highlight w:val="none"/>
                      <w:u w:val="single"/>
                      <w:vertAlign w:val="superscript"/>
                      <w:lang w:bidi="ar"/>
                      <w14:textFill>
                        <w14:solidFill>
                          <w14:schemeClr w14:val="tx1"/>
                        </w14:solidFill>
                      </w14:textFill>
                    </w:rPr>
                    <w:t>3</w:t>
                  </w: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 /h</w:t>
                  </w:r>
                </w:p>
              </w:tc>
              <w:tc>
                <w:tcPr>
                  <w:tcW w:w="913" w:type="dxa"/>
                  <w:vAlign w:val="center"/>
                </w:tcPr>
                <w:p w14:paraId="34BAB669">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w:t>
                  </w:r>
                </w:p>
              </w:tc>
              <w:tc>
                <w:tcPr>
                  <w:tcW w:w="1268" w:type="dxa"/>
                  <w:vAlign w:val="center"/>
                </w:tcPr>
                <w:p w14:paraId="79F4A40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58" w:type="dxa"/>
                  <w:vAlign w:val="center"/>
                </w:tcPr>
                <w:p w14:paraId="394557C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新建</w:t>
                  </w:r>
                </w:p>
              </w:tc>
            </w:tr>
            <w:tr w14:paraId="4F7A6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EC9C43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ZYHJ-048</w:t>
                  </w:r>
                </w:p>
              </w:tc>
              <w:tc>
                <w:tcPr>
                  <w:tcW w:w="2056" w:type="dxa"/>
                  <w:vAlign w:val="center"/>
                </w:tcPr>
                <w:p w14:paraId="2D78DBBA">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行车</w:t>
                  </w:r>
                </w:p>
              </w:tc>
              <w:tc>
                <w:tcPr>
                  <w:tcW w:w="1759" w:type="dxa"/>
                  <w:vAlign w:val="center"/>
                </w:tcPr>
                <w:p w14:paraId="10924A70">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913" w:type="dxa"/>
                  <w:vAlign w:val="center"/>
                </w:tcPr>
                <w:p w14:paraId="573E525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2</w:t>
                  </w:r>
                </w:p>
              </w:tc>
              <w:tc>
                <w:tcPr>
                  <w:tcW w:w="1268" w:type="dxa"/>
                  <w:vAlign w:val="center"/>
                </w:tcPr>
                <w:p w14:paraId="0CE9175E">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58" w:type="dxa"/>
                  <w:vAlign w:val="center"/>
                </w:tcPr>
                <w:p w14:paraId="65322320">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新建</w:t>
                  </w:r>
                </w:p>
              </w:tc>
            </w:tr>
            <w:tr w14:paraId="15D8D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251D28B0">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ZYHJ-049</w:t>
                  </w:r>
                </w:p>
              </w:tc>
              <w:tc>
                <w:tcPr>
                  <w:tcW w:w="2056" w:type="dxa"/>
                  <w:vAlign w:val="center"/>
                </w:tcPr>
                <w:p w14:paraId="6AAEAEA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激光切割机</w:t>
                  </w:r>
                </w:p>
              </w:tc>
              <w:tc>
                <w:tcPr>
                  <w:tcW w:w="1759" w:type="dxa"/>
                  <w:vAlign w:val="center"/>
                </w:tcPr>
                <w:p w14:paraId="4A6FC1F1">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913" w:type="dxa"/>
                  <w:vAlign w:val="center"/>
                </w:tcPr>
                <w:p w14:paraId="3C702300">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w:t>
                  </w:r>
                </w:p>
              </w:tc>
              <w:tc>
                <w:tcPr>
                  <w:tcW w:w="1268" w:type="dxa"/>
                  <w:vAlign w:val="center"/>
                </w:tcPr>
                <w:p w14:paraId="34FB98C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58" w:type="dxa"/>
                  <w:vAlign w:val="center"/>
                </w:tcPr>
                <w:p w14:paraId="33210C1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新建</w:t>
                  </w:r>
                </w:p>
              </w:tc>
            </w:tr>
            <w:tr w14:paraId="7D736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3B0D3D4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ZYHJ-050</w:t>
                  </w:r>
                </w:p>
              </w:tc>
              <w:tc>
                <w:tcPr>
                  <w:tcW w:w="2056" w:type="dxa"/>
                  <w:vAlign w:val="center"/>
                </w:tcPr>
                <w:p w14:paraId="05F53C5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气刨焊机</w:t>
                  </w:r>
                </w:p>
              </w:tc>
              <w:tc>
                <w:tcPr>
                  <w:tcW w:w="1759" w:type="dxa"/>
                  <w:vAlign w:val="center"/>
                </w:tcPr>
                <w:p w14:paraId="2C18A422">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913" w:type="dxa"/>
                  <w:vAlign w:val="center"/>
                </w:tcPr>
                <w:p w14:paraId="485D6D9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w:t>
                  </w:r>
                </w:p>
              </w:tc>
              <w:tc>
                <w:tcPr>
                  <w:tcW w:w="1268" w:type="dxa"/>
                  <w:vAlign w:val="center"/>
                </w:tcPr>
                <w:p w14:paraId="434301E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58" w:type="dxa"/>
                  <w:vAlign w:val="center"/>
                </w:tcPr>
                <w:p w14:paraId="7CAC6A3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新建</w:t>
                  </w:r>
                </w:p>
              </w:tc>
            </w:tr>
            <w:tr w14:paraId="1AACB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4" w:type="dxa"/>
                  <w:vAlign w:val="center"/>
                </w:tcPr>
                <w:p w14:paraId="4E38A2A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ZYHJ-05</w:t>
                  </w:r>
                  <w:r>
                    <w:rPr>
                      <w:rFonts w:hint="default" w:ascii="Times New Roman" w:hAnsi="Times New Roman" w:cs="Times New Roman"/>
                      <w:color w:val="000000" w:themeColor="text1"/>
                      <w:szCs w:val="21"/>
                      <w:highlight w:val="none"/>
                      <w:u w:val="single"/>
                      <w14:textFill>
                        <w14:solidFill>
                          <w14:schemeClr w14:val="tx1"/>
                        </w14:solidFill>
                      </w14:textFill>
                    </w:rPr>
                    <w:t>1</w:t>
                  </w:r>
                </w:p>
              </w:tc>
              <w:tc>
                <w:tcPr>
                  <w:tcW w:w="2056" w:type="dxa"/>
                  <w:vAlign w:val="center"/>
                </w:tcPr>
                <w:p w14:paraId="6DC5732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可移动式搅拌机</w:t>
                  </w:r>
                </w:p>
              </w:tc>
              <w:tc>
                <w:tcPr>
                  <w:tcW w:w="1759" w:type="dxa"/>
                  <w:vAlign w:val="center"/>
                </w:tcPr>
                <w:p w14:paraId="4ADEA03D">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913" w:type="dxa"/>
                  <w:vAlign w:val="center"/>
                </w:tcPr>
                <w:p w14:paraId="59B629B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2</w:t>
                  </w:r>
                </w:p>
              </w:tc>
              <w:tc>
                <w:tcPr>
                  <w:tcW w:w="1268" w:type="dxa"/>
                  <w:vAlign w:val="center"/>
                </w:tcPr>
                <w:p w14:paraId="3C6A237F">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58" w:type="dxa"/>
                  <w:vAlign w:val="center"/>
                </w:tcPr>
                <w:p w14:paraId="4EE0A1D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新建；一用一备</w:t>
                  </w:r>
                </w:p>
              </w:tc>
            </w:tr>
          </w:tbl>
          <w:p w14:paraId="6E180A42">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6、项目总平面布置</w:t>
            </w:r>
          </w:p>
          <w:p w14:paraId="2B4E8069">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lang w:bidi="ar"/>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本次项目改扩建不改变原有项目的平面布置。</w:t>
            </w:r>
            <w:r>
              <w:rPr>
                <w:rFonts w:hint="default" w:ascii="Times New Roman" w:hAnsi="Times New Roman" w:cs="Times New Roman"/>
                <w:color w:val="000000" w:themeColor="text1"/>
                <w:sz w:val="24"/>
                <w:szCs w:val="24"/>
                <w:highlight w:val="none"/>
                <w:lang w:bidi="ar"/>
                <w14:textFill>
                  <w14:solidFill>
                    <w14:schemeClr w14:val="tx1"/>
                  </w14:solidFill>
                </w14:textFill>
              </w:rPr>
              <w:t>本项目厂址位于衡东县衡东经济开发区。项目根据厂区地形、现有基础设施及工艺物流情况。厂区内按功能分区分为生活区和生产区，生活区包括办公楼、宿舍、食堂、停车区，生产区包括机加工车间、装配间、材料贮存区域、喷涂车间等。机加工、喷涂车间位于厂区北侧，远离居民区。仓库位于厂区南侧。</w:t>
            </w:r>
          </w:p>
          <w:p w14:paraId="7DA10E7D">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bidi="ar"/>
                <w14:textFill>
                  <w14:solidFill>
                    <w14:schemeClr w14:val="tx1"/>
                  </w14:solidFill>
                </w14:textFill>
              </w:rPr>
              <w:t>各生产车间按流程连续布置，保证厂内运距最短，且便于物料输送，同时考虑污染重的工序远离人群布局。</w:t>
            </w:r>
          </w:p>
          <w:p w14:paraId="26B5C327">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7、公用工程</w:t>
            </w:r>
          </w:p>
          <w:p w14:paraId="260C7ED2">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（1）给排水</w:t>
            </w:r>
          </w:p>
          <w:p w14:paraId="4869F4FD">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给水</w:t>
            </w:r>
          </w:p>
          <w:p w14:paraId="23E8585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本项目给水系统为生产、消防合用给水管道系统。本项目从园区接入主给水管，生产用水和职工办公用水均来自衡东经开区供水管网。</w:t>
            </w:r>
            <w:r>
              <w:rPr>
                <w:rFonts w:hint="default" w:ascii="Times New Roman" w:hAnsi="Times New Roman" w:cs="Times New Roman"/>
                <w:color w:val="000000" w:themeColor="text1"/>
                <w:sz w:val="24"/>
                <w:highlight w:val="none"/>
                <w:u w:val="single"/>
                <w14:textFill>
                  <w14:solidFill>
                    <w14:schemeClr w14:val="tx1"/>
                  </w14:solidFill>
                </w14:textFill>
              </w:rPr>
              <w:t>现有项目无生产用水工序仅生活用水，本次扩建项目</w:t>
            </w:r>
            <w:r>
              <w:rPr>
                <w:rFonts w:hint="default" w:ascii="Times New Roman" w:hAnsi="Times New Roman" w:cs="Times New Roman"/>
                <w:color w:val="000000" w:themeColor="text1"/>
                <w:sz w:val="24"/>
                <w:highlight w:val="none"/>
                <w:u w:val="single"/>
                <w14:textFill>
                  <w14:solidFill>
                    <w14:schemeClr w14:val="tx1"/>
                  </w14:solidFill>
                </w14:textFill>
              </w:rPr>
              <w:t>员工均由原厂进行调配，不新增员工，无生活用水；生产</w:t>
            </w:r>
            <w:r>
              <w:rPr>
                <w:rFonts w:hint="default" w:ascii="Times New Roman" w:hAnsi="Times New Roman" w:cs="Times New Roman"/>
                <w:color w:val="000000" w:themeColor="text1"/>
                <w:sz w:val="24"/>
                <w:highlight w:val="none"/>
                <w:u w:val="single"/>
                <w14:textFill>
                  <w14:solidFill>
                    <w14:schemeClr w14:val="tx1"/>
                  </w14:solidFill>
                </w14:textFill>
              </w:rPr>
              <w:t>用水主要是填充工艺，原料为干砂和袋装水泥，运输车辆无需清洗；</w:t>
            </w:r>
            <w:r>
              <w:rPr>
                <w:rFonts w:hint="default" w:ascii="Times New Roman" w:hAnsi="Times New Roman" w:cs="Times New Roman"/>
                <w:color w:val="000000" w:themeColor="text1"/>
                <w:sz w:val="24"/>
                <w:highlight w:val="none"/>
                <w14:textFill>
                  <w14:solidFill>
                    <w14:schemeClr w14:val="tx1"/>
                  </w14:solidFill>
                </w14:textFill>
              </w:rPr>
              <w:t>其他车间</w:t>
            </w:r>
            <w:r>
              <w:rPr>
                <w:rFonts w:hint="default" w:ascii="Times New Roman" w:hAnsi="Times New Roman" w:cs="Times New Roman"/>
                <w:color w:val="000000" w:themeColor="text1"/>
                <w:sz w:val="24"/>
                <w:highlight w:val="none"/>
                <w14:textFill>
                  <w14:solidFill>
                    <w14:schemeClr w14:val="tx1"/>
                  </w14:solidFill>
                </w14:textFill>
              </w:rPr>
              <w:t>地面采用干式清扫，无地面清洗用水。</w:t>
            </w:r>
          </w:p>
          <w:p w14:paraId="2390DD11">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填充工艺生产用水主要为</w:t>
            </w:r>
            <w:r>
              <w:rPr>
                <w:rFonts w:hint="default" w:ascii="Times New Roman" w:hAnsi="Times New Roman" w:cs="Times New Roman"/>
                <w:color w:val="000000" w:themeColor="text1"/>
                <w:sz w:val="24"/>
                <w:highlight w:val="none"/>
                <w:u w:val="single"/>
                <w14:textFill>
                  <w14:solidFill>
                    <w14:schemeClr w14:val="tx1"/>
                  </w14:solidFill>
                </w14:textFill>
              </w:rPr>
              <w:t>作业区地面冲洗、搅拌机冲洗、混凝土搅拌工艺、喷洒抑尘</w:t>
            </w:r>
            <w:r>
              <w:rPr>
                <w:rFonts w:hint="default" w:ascii="Times New Roman" w:hAnsi="Times New Roman" w:cs="Times New Roman"/>
                <w:color w:val="000000" w:themeColor="text1"/>
                <w:sz w:val="24"/>
                <w:highlight w:val="none"/>
                <w:u w:val="single"/>
                <w14:textFill>
                  <w14:solidFill>
                    <w14:schemeClr w14:val="tx1"/>
                  </w14:solidFill>
                </w14:textFill>
              </w:rPr>
              <w:t>。</w:t>
            </w:r>
          </w:p>
          <w:p w14:paraId="077D8D27">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①</w:t>
            </w:r>
            <w:r>
              <w:rPr>
                <w:rFonts w:hint="default" w:ascii="Times New Roman" w:hAnsi="Times New Roman" w:cs="Times New Roman"/>
                <w:color w:val="000000" w:themeColor="text1"/>
                <w:sz w:val="24"/>
                <w:highlight w:val="none"/>
                <w:u w:val="single"/>
                <w14:textFill>
                  <w14:solidFill>
                    <w14:schemeClr w14:val="tx1"/>
                  </w14:solidFill>
                </w14:textFill>
              </w:rPr>
              <w:t>作业区地面冲洗用水</w:t>
            </w:r>
          </w:p>
          <w:p w14:paraId="769CB894">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搅拌作业后需对生产区区域地面进行冲洗，需进行冲洗的生产场地面积约</w:t>
            </w:r>
            <w:r>
              <w:rPr>
                <w:rFonts w:hint="default" w:ascii="Times New Roman" w:hAnsi="Times New Roman" w:cs="Times New Roman"/>
                <w:color w:val="000000" w:themeColor="text1"/>
                <w:sz w:val="24"/>
                <w:highlight w:val="none"/>
                <w:u w:val="single"/>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00m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，其冲洗用水量按5L/m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·d计算，场地冲洗用水总量为</w:t>
            </w:r>
            <w:r>
              <w:rPr>
                <w:rFonts w:hint="default" w:ascii="Times New Roman" w:hAnsi="Times New Roman" w:cs="Times New Roman"/>
                <w:color w:val="000000" w:themeColor="text1"/>
                <w:sz w:val="24"/>
                <w:highlight w:val="none"/>
                <w:u w:val="single"/>
                <w14:textFill>
                  <w14:solidFill>
                    <w14:schemeClr w14:val="tx1"/>
                  </w14:solidFill>
                </w14:textFill>
              </w:rPr>
              <w:t>1.5</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450</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w:t>
            </w:r>
          </w:p>
          <w:p w14:paraId="7561F46F">
            <w:pPr>
              <w:spacing w:line="360" w:lineRule="auto"/>
              <w:ind w:firstLine="42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②</w:t>
            </w:r>
            <w:r>
              <w:rPr>
                <w:rFonts w:hint="default" w:ascii="Times New Roman" w:hAnsi="Times New Roman" w:cs="Times New Roman"/>
                <w:color w:val="000000" w:themeColor="text1"/>
                <w:sz w:val="24"/>
                <w:highlight w:val="none"/>
                <w:u w:val="single"/>
                <w14:textFill>
                  <w14:solidFill>
                    <w14:schemeClr w14:val="tx1"/>
                  </w14:solidFill>
                </w14:textFill>
              </w:rPr>
              <w:t>搅拌机冲洗用水</w:t>
            </w:r>
          </w:p>
          <w:p w14:paraId="49EB2B1A">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w:t>
            </w:r>
            <w:r>
              <w:rPr>
                <w:rFonts w:hint="default" w:ascii="Times New Roman" w:hAnsi="Times New Roman" w:cs="Times New Roman"/>
                <w:color w:val="000000" w:themeColor="text1"/>
                <w:sz w:val="24"/>
                <w:highlight w:val="none"/>
                <w:u w:val="single"/>
                <w14:textFill>
                  <w14:solidFill>
                    <w14:schemeClr w14:val="tx1"/>
                  </w14:solidFill>
                </w14:textFill>
              </w:rPr>
              <w:t>预拌</w:t>
            </w:r>
            <w:r>
              <w:rPr>
                <w:rFonts w:hint="default" w:ascii="Times New Roman" w:hAnsi="Times New Roman" w:cs="Times New Roman"/>
                <w:color w:val="000000" w:themeColor="text1"/>
                <w:sz w:val="24"/>
                <w:highlight w:val="none"/>
                <w:u w:val="single"/>
                <w14:textFill>
                  <w14:solidFill>
                    <w14:schemeClr w14:val="tx1"/>
                  </w14:solidFill>
                </w14:textFill>
              </w:rPr>
              <w:t>混凝土设置</w:t>
            </w:r>
            <w:r>
              <w:rPr>
                <w:rFonts w:hint="default" w:ascii="Times New Roman" w:hAnsi="Times New Roman" w:cs="Times New Roman"/>
                <w:color w:val="000000" w:themeColor="text1"/>
                <w:sz w:val="24"/>
                <w:highlight w:val="none"/>
                <w:u w:val="single"/>
                <w14:textFill>
                  <w14:solidFill>
                    <w14:schemeClr w14:val="tx1"/>
                  </w14:solidFill>
                </w14:textFill>
              </w:rPr>
              <w:t>两</w:t>
            </w:r>
            <w:r>
              <w:rPr>
                <w:rFonts w:hint="default" w:ascii="Times New Roman" w:hAnsi="Times New Roman" w:cs="Times New Roman"/>
                <w:color w:val="000000" w:themeColor="text1"/>
                <w:sz w:val="24"/>
                <w:highlight w:val="none"/>
                <w:u w:val="single"/>
                <w14:textFill>
                  <w14:solidFill>
                    <w14:schemeClr w14:val="tx1"/>
                  </w14:solidFill>
                </w14:textFill>
              </w:rPr>
              <w:t>台</w:t>
            </w:r>
            <w:r>
              <w:rPr>
                <w:rFonts w:hint="default" w:ascii="Times New Roman" w:hAnsi="Times New Roman" w:cs="Times New Roman"/>
                <w:color w:val="000000" w:themeColor="text1"/>
                <w:sz w:val="24"/>
                <w:highlight w:val="none"/>
                <w:u w:val="single"/>
                <w14:textFill>
                  <w14:solidFill>
                    <w14:schemeClr w14:val="tx1"/>
                  </w14:solidFill>
                </w14:textFill>
              </w:rPr>
              <w:t>可移动式</w:t>
            </w:r>
            <w:r>
              <w:rPr>
                <w:rFonts w:hint="default" w:ascii="Times New Roman" w:hAnsi="Times New Roman" w:cs="Times New Roman"/>
                <w:color w:val="000000" w:themeColor="text1"/>
                <w:sz w:val="24"/>
                <w:highlight w:val="none"/>
                <w:u w:val="single"/>
                <w14:textFill>
                  <w14:solidFill>
                    <w14:schemeClr w14:val="tx1"/>
                  </w14:solidFill>
                </w14:textFill>
              </w:rPr>
              <w:t>搅拌机</w:t>
            </w:r>
            <w:r>
              <w:rPr>
                <w:rFonts w:hint="default" w:ascii="Times New Roman" w:hAnsi="Times New Roman" w:cs="Times New Roman"/>
                <w:color w:val="000000" w:themeColor="text1"/>
                <w:sz w:val="24"/>
                <w:highlight w:val="none"/>
                <w:u w:val="single"/>
                <w14:textFill>
                  <w14:solidFill>
                    <w14:schemeClr w14:val="tx1"/>
                  </w14:solidFill>
                </w14:textFill>
              </w:rPr>
              <w:t>（一用一备）</w:t>
            </w:r>
            <w:r>
              <w:rPr>
                <w:rFonts w:hint="default" w:ascii="Times New Roman" w:hAnsi="Times New Roman" w:cs="Times New Roman"/>
                <w:color w:val="000000" w:themeColor="text1"/>
                <w:sz w:val="24"/>
                <w:highlight w:val="none"/>
                <w:u w:val="single"/>
                <w14:textFill>
                  <w14:solidFill>
                    <w14:schemeClr w14:val="tx1"/>
                  </w14:solidFill>
                </w14:textFill>
              </w:rPr>
              <w:t>，搅拌机每天冲洗一次，冲洗用水约为3m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/次，则搅拌机冲洗用水量为</w:t>
            </w:r>
            <w:r>
              <w:rPr>
                <w:rFonts w:hint="default" w:ascii="Times New Roman" w:hAnsi="Times New Roman" w:cs="Times New Roman"/>
                <w:color w:val="000000" w:themeColor="text1"/>
                <w:sz w:val="24"/>
                <w:highlight w:val="none"/>
                <w:u w:val="single"/>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900</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w:t>
            </w:r>
          </w:p>
          <w:p w14:paraId="5DE16A1F">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③</w:t>
            </w:r>
            <w:r>
              <w:rPr>
                <w:rFonts w:hint="default" w:ascii="Times New Roman" w:hAnsi="Times New Roman" w:cs="Times New Roman"/>
                <w:color w:val="000000" w:themeColor="text1"/>
                <w:highlight w:val="none"/>
                <w:u w:val="single"/>
                <w14:textFill>
                  <w14:solidFill>
                    <w14:schemeClr w14:val="tx1"/>
                  </w14:solidFill>
                </w14:textFill>
              </w:rPr>
              <w:t>混凝土搅拌工艺用水</w:t>
            </w:r>
          </w:p>
          <w:p w14:paraId="2BB113C2">
            <w:pPr>
              <w:widowControl/>
              <w:spacing w:line="360" w:lineRule="auto"/>
              <w:ind w:firstLine="480" w:firstLineChars="200"/>
              <w:jc w:val="left"/>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根据建设单位提供的资料，填充工艺分为湿式和干式，湿式比重小仅占0.81%，预拌混凝土配比（水：灰）为0.45:1</w:t>
            </w:r>
            <w:r>
              <w:rPr>
                <w:rFonts w:hint="default" w:ascii="Times New Roman" w:hAnsi="Times New Roman" w:cs="Times New Roman"/>
                <w:color w:val="000000" w:themeColor="text1"/>
                <w:sz w:val="24"/>
                <w:highlight w:val="none"/>
                <w:u w:val="single"/>
                <w14:textFill>
                  <w14:solidFill>
                    <w14:schemeClr w14:val="tx1"/>
                  </w14:solidFill>
                </w14:textFill>
              </w:rPr>
              <w:t>，则本项目工艺用水量为</w:t>
            </w:r>
            <w:r>
              <w:rPr>
                <w:rFonts w:hint="default" w:ascii="Times New Roman" w:hAnsi="Times New Roman" w:cs="Times New Roman"/>
                <w:color w:val="000000" w:themeColor="text1"/>
                <w:sz w:val="24"/>
                <w:highlight w:val="none"/>
                <w:u w:val="single"/>
                <w14:textFill>
                  <w14:solidFill>
                    <w14:schemeClr w14:val="tx1"/>
                  </w14:solidFill>
                </w14:textFill>
              </w:rPr>
              <w:t>4.05</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1215</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/a），全部进入产品。</w:t>
            </w:r>
          </w:p>
          <w:p w14:paraId="434FD3EA">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④</w:t>
            </w:r>
            <w:r>
              <w:rPr>
                <w:rFonts w:hint="default" w:ascii="Times New Roman" w:hAnsi="Times New Roman" w:cs="Times New Roman"/>
                <w:color w:val="000000" w:themeColor="text1"/>
                <w:sz w:val="24"/>
                <w:highlight w:val="none"/>
                <w:u w:val="single"/>
                <w14:textFill>
                  <w14:solidFill>
                    <w14:schemeClr w14:val="tx1"/>
                  </w14:solidFill>
                </w14:textFill>
              </w:rPr>
              <w:t>喷洒抑尘用水</w:t>
            </w:r>
          </w:p>
          <w:p w14:paraId="68819B10">
            <w:pPr>
              <w:adjustRightInd w:val="0"/>
              <w:snapToGrid w:val="0"/>
              <w:spacing w:line="360" w:lineRule="auto"/>
              <w:ind w:firstLine="48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根据类比调查，本项目喷洒抑尘用水约为5m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/d（1</w:t>
            </w:r>
            <w:r>
              <w:rPr>
                <w:rFonts w:hint="default" w:ascii="Times New Roman" w:hAnsi="Times New Roman" w:cs="Times New Roman"/>
                <w:color w:val="000000" w:themeColor="text1"/>
                <w:sz w:val="24"/>
                <w:highlight w:val="none"/>
                <w:u w:val="single"/>
                <w14:textFill>
                  <w14:solidFill>
                    <w14:schemeClr w14:val="tx1"/>
                  </w14:solidFill>
                </w14:textFill>
              </w:rPr>
              <w:t>5</w:t>
            </w:r>
            <w:r>
              <w:rPr>
                <w:rFonts w:hint="default" w:ascii="Times New Roman" w:hAnsi="Times New Roman" w:cs="Times New Roman"/>
                <w:color w:val="000000" w:themeColor="text1"/>
                <w:sz w:val="24"/>
                <w:highlight w:val="none"/>
                <w:u w:val="single"/>
                <w14:textFill>
                  <w14:solidFill>
                    <w14:schemeClr w14:val="tx1"/>
                  </w14:solidFill>
                </w14:textFill>
              </w:rPr>
              <w:t>00m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/a），全部损耗蒸发。</w:t>
            </w:r>
          </w:p>
          <w:p w14:paraId="4F269399">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排水</w:t>
            </w:r>
          </w:p>
          <w:p w14:paraId="15F925CF">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本项目排水采用雨污分流</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污污分流制，本项目物料储存、生产线均设置在厂房内，厂房四面密闭，无露天生产装置和罐区，则本次不考虑初期雨水产生，厂房内未设雨水收集系统，厂房顶棚雨水依托园区雨水沟排入园区雨水管网。</w:t>
            </w:r>
            <w:r>
              <w:rPr>
                <w:rFonts w:hint="default" w:ascii="Times New Roman" w:hAnsi="Times New Roman" w:cs="Times New Roman"/>
                <w:color w:val="000000" w:themeColor="text1"/>
                <w:sz w:val="24"/>
                <w:highlight w:val="none"/>
                <w:u w:val="single"/>
                <w14:textFill>
                  <w14:solidFill>
                    <w14:schemeClr w14:val="tx1"/>
                  </w14:solidFill>
                </w14:textFill>
              </w:rPr>
              <w:t>沿</w:t>
            </w:r>
            <w:r>
              <w:rPr>
                <w:rFonts w:hint="default" w:ascii="Times New Roman" w:hAnsi="Times New Roman" w:cs="Times New Roman"/>
                <w:color w:val="000000" w:themeColor="text1"/>
                <w:sz w:val="24"/>
                <w:highlight w:val="none"/>
                <w:u w:val="single"/>
                <w14:textFill>
                  <w14:solidFill>
                    <w14:schemeClr w14:val="tx1"/>
                  </w14:solidFill>
                </w14:textFill>
              </w:rPr>
              <w:t>填充车间</w:t>
            </w:r>
            <w:r>
              <w:rPr>
                <w:rFonts w:hint="default" w:ascii="Times New Roman" w:hAnsi="Times New Roman" w:cs="Times New Roman"/>
                <w:color w:val="000000" w:themeColor="text1"/>
                <w:sz w:val="24"/>
                <w:highlight w:val="none"/>
                <w:u w:val="single"/>
                <w14:textFill>
                  <w14:solidFill>
                    <w14:schemeClr w14:val="tx1"/>
                  </w14:solidFill>
                </w14:textFill>
              </w:rPr>
              <w:t>内设</w:t>
            </w:r>
            <w:r>
              <w:rPr>
                <w:rFonts w:hint="default" w:ascii="Times New Roman" w:hAnsi="Times New Roman" w:cs="Times New Roman"/>
                <w:color w:val="000000" w:themeColor="text1"/>
                <w:sz w:val="24"/>
                <w:highlight w:val="none"/>
                <w:u w:val="single"/>
                <w14:textFill>
                  <w14:solidFill>
                    <w14:schemeClr w14:val="tx1"/>
                  </w14:solidFill>
                </w14:textFill>
              </w:rPr>
              <w:t>收集</w:t>
            </w:r>
            <w:r>
              <w:rPr>
                <w:rFonts w:hint="default" w:ascii="Times New Roman" w:hAnsi="Times New Roman" w:cs="Times New Roman"/>
                <w:color w:val="000000" w:themeColor="text1"/>
                <w:sz w:val="24"/>
                <w:highlight w:val="none"/>
                <w:u w:val="single"/>
                <w14:textFill>
                  <w14:solidFill>
                    <w14:schemeClr w14:val="tx1"/>
                  </w14:solidFill>
                </w14:textFill>
              </w:rPr>
              <w:t>沟</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作业区地面冲洗废水、搅拌机冲洗废水进入废水</w:t>
            </w:r>
            <w:r>
              <w:rPr>
                <w:rFonts w:hint="default" w:ascii="Times New Roman" w:hAnsi="Times New Roman" w:cs="Times New Roman"/>
                <w:color w:val="000000" w:themeColor="text1"/>
                <w:sz w:val="24"/>
                <w:highlight w:val="none"/>
                <w:u w:val="single"/>
                <w14:textFill>
                  <w14:solidFill>
                    <w14:schemeClr w14:val="tx1"/>
                  </w14:solidFill>
                </w14:textFill>
              </w:rPr>
              <w:t>收集沉淀</w:t>
            </w:r>
            <w:r>
              <w:rPr>
                <w:rFonts w:hint="default" w:ascii="Times New Roman" w:hAnsi="Times New Roman" w:cs="Times New Roman"/>
                <w:color w:val="000000" w:themeColor="text1"/>
                <w:sz w:val="24"/>
                <w:highlight w:val="none"/>
                <w:u w:val="single"/>
                <w14:textFill>
                  <w14:solidFill>
                    <w14:schemeClr w14:val="tx1"/>
                  </w14:solidFill>
                </w14:textFill>
              </w:rPr>
              <w:t>池处理后</w:t>
            </w:r>
            <w:r>
              <w:rPr>
                <w:rFonts w:hint="default" w:ascii="Times New Roman" w:hAnsi="Times New Roman" w:cs="Times New Roman"/>
                <w:color w:val="000000" w:themeColor="text1"/>
                <w:sz w:val="24"/>
                <w:highlight w:val="none"/>
                <w:u w:val="single"/>
                <w14:textFill>
                  <w14:solidFill>
                    <w14:schemeClr w14:val="tx1"/>
                  </w14:solidFill>
                </w14:textFill>
              </w:rPr>
              <w:t>上清液回用</w:t>
            </w:r>
            <w:r>
              <w:rPr>
                <w:rFonts w:hint="default" w:ascii="Times New Roman" w:hAnsi="Times New Roman" w:cs="Times New Roman"/>
                <w:color w:val="000000" w:themeColor="text1"/>
                <w:sz w:val="24"/>
                <w:highlight w:val="none"/>
                <w:u w:val="single"/>
                <w14:textFill>
                  <w14:solidFill>
                    <w14:schemeClr w14:val="tx1"/>
                  </w14:solidFill>
                </w14:textFill>
              </w:rPr>
              <w:t>于混凝土搅拌工艺用水。</w:t>
            </w:r>
          </w:p>
          <w:p w14:paraId="122C25C8">
            <w:pPr>
              <w:pStyle w:val="40"/>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本项目水平衡图如下。</w:t>
            </w:r>
          </w:p>
          <w:p w14:paraId="42B22A3F">
            <w:pPr>
              <w:pStyle w:val="40"/>
              <w:jc w:val="center"/>
              <w:rPr>
                <w:rFonts w:hint="default" w:ascii="Times New Roman" w:hAnsi="Times New Roman" w:cs="Times New Roman"/>
                <w:color w:val="000000" w:themeColor="text1"/>
                <w:highlight w:val="none"/>
                <w14:textFill>
                  <w14:solidFill>
                    <w14:schemeClr w14:val="tx1"/>
                  </w14:solidFill>
                </w14:textFill>
              </w:rPr>
            </w:pPr>
            <w:r>
              <w:rPr>
                <w:rStyle w:val="98"/>
                <w:rFonts w:hint="default" w:ascii="Times New Roman" w:hAnsi="Times New Roman" w:cs="Times New Roman"/>
                <w:color w:val="000000" w:themeColor="text1"/>
                <w:highlight w:val="none"/>
                <w14:textFill>
                  <w14:solidFill>
                    <w14:schemeClr w14:val="tx1"/>
                  </w14:solidFill>
                </w14:textFill>
              </w:rPr>
              <w:object>
                <v:shape id="_x0000_i1025" o:spt="75" type="#_x0000_t75" style="height:142.8pt;width:263.9pt;" o:ole="t" filled="f" o:preferrelative="t" stroked="f" coordsize="21600,21600">
                  <v:path/>
                  <v:fill on="f" focussize="0,0"/>
                  <v:stroke on="f" joinstyle="miter"/>
                  <v:imagedata r:id="rId12" o:title=""/>
                  <o:lock v:ext="edit" aspectratio="f"/>
                  <w10:wrap type="none"/>
                  <w10:anchorlock/>
                </v:shape>
                <o:OLEObject Type="Embed" ProgID="Visio.Drawing.11" ShapeID="_x0000_i1025" DrawAspect="Content" ObjectID="_1468075725" r:id="rId11">
                  <o:LockedField>false</o:LockedField>
                </o:OLEObject>
              </w:object>
            </w:r>
          </w:p>
          <w:p w14:paraId="480B7C64">
            <w:pPr>
              <w:pStyle w:val="40"/>
              <w:spacing w:line="360" w:lineRule="auto"/>
              <w:ind w:firstLine="482" w:firstLineChars="200"/>
              <w:jc w:val="center"/>
              <w:rPr>
                <w:rFonts w:hint="default" w:ascii="Times New Roman" w:hAnsi="Times New Roman" w:cs="Times New Roman"/>
                <w:b/>
                <w:bCs/>
                <w:color w:val="000000" w:themeColor="text1"/>
                <w:highlight w:val="none"/>
                <w:u w:val="single"/>
                <w14:textFill>
                  <w14:solidFill>
                    <w14:schemeClr w14:val="tx1"/>
                  </w14:solidFill>
                </w14:textFill>
              </w:rPr>
            </w:pPr>
            <w:r>
              <w:rPr>
                <w:rFonts w:hint="default" w:ascii="Times New Roman" w:hAnsi="Times New Roman" w:cs="Times New Roman"/>
                <w:b/>
                <w:bCs/>
                <w:color w:val="000000" w:themeColor="text1"/>
                <w:highlight w:val="none"/>
                <w:u w:val="single"/>
                <w14:textFill>
                  <w14:solidFill>
                    <w14:schemeClr w14:val="tx1"/>
                  </w14:solidFill>
                </w14:textFill>
              </w:rPr>
              <w:t>图2-1   项目水平衡图</w:t>
            </w:r>
          </w:p>
          <w:p w14:paraId="7BAFE96F">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（2）供电</w:t>
            </w:r>
          </w:p>
          <w:p w14:paraId="269B30C0">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本项目用电通过接入园区供电系统由园区统一供电，能够满足用电需求，供电有保障。</w:t>
            </w:r>
          </w:p>
          <w:p w14:paraId="2AA9FF1B">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u w:val="single"/>
                <w14:textFill>
                  <w14:solidFill>
                    <w14:schemeClr w14:val="tx1"/>
                  </w14:solidFill>
                </w14:textFill>
              </w:rPr>
            </w:pPr>
            <w:r>
              <w:rPr>
                <w:rFonts w:hint="default" w:ascii="Times New Roman" w:hAnsi="Times New Roman" w:cs="Times New Roman"/>
                <w:b/>
                <w:bCs/>
                <w:color w:val="000000" w:themeColor="text1"/>
                <w:sz w:val="24"/>
                <w:highlight w:val="none"/>
                <w:u w:val="single"/>
                <w14:textFill>
                  <w14:solidFill>
                    <w14:schemeClr w14:val="tx1"/>
                  </w14:solidFill>
                </w14:textFill>
              </w:rPr>
              <w:t>8、油漆平衡</w:t>
            </w:r>
          </w:p>
          <w:p w14:paraId="56AC81FA">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根据项目油漆用量核算及废气中喷漆生产线废气产生及排放情况的核算，可知本项目喷漆生产线用漆物料平衡情况见表2-1</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、图2-</w:t>
            </w:r>
            <w:r>
              <w:rPr>
                <w:rFonts w:hint="default" w:ascii="Times New Roman" w:hAnsi="Times New Roman" w:cs="Times New Roman"/>
                <w:color w:val="000000" w:themeColor="text1"/>
                <w:sz w:val="24"/>
                <w:highlight w:val="none"/>
                <w:u w:val="single"/>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w:t>
            </w:r>
          </w:p>
          <w:p w14:paraId="3303457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highlight w:val="none"/>
                <w:u w:val="single"/>
                <w14:textFill>
                  <w14:solidFill>
                    <w14:schemeClr w14:val="tx1"/>
                  </w14:solidFill>
                </w14:textFill>
              </w:rPr>
              <w:t>表2-1</w:t>
            </w:r>
            <w:r>
              <w:rPr>
                <w:rFonts w:hint="default" w:ascii="Times New Roman" w:hAnsi="Times New Roman" w:cs="Times New Roman"/>
                <w:b/>
                <w:color w:val="000000" w:themeColor="text1"/>
                <w:highlight w:val="none"/>
                <w:u w:val="single"/>
                <w:lang w:val="en-US" w:eastAsia="zh-CN"/>
                <w14:textFill>
                  <w14:solidFill>
                    <w14:schemeClr w14:val="tx1"/>
                  </w14:solidFill>
                </w14:textFill>
              </w:rPr>
              <w:t>3</w:t>
            </w:r>
            <w:r>
              <w:rPr>
                <w:rFonts w:hint="default" w:ascii="Times New Roman" w:hAnsi="Times New Roman" w:cs="Times New Roman"/>
                <w:b/>
                <w:color w:val="000000" w:themeColor="text1"/>
                <w:highlight w:val="none"/>
                <w:u w:val="single"/>
                <w14:textFill>
                  <w14:solidFill>
                    <w14:schemeClr w14:val="tx1"/>
                  </w14:solidFill>
                </w14:textFill>
              </w:rPr>
              <w:t xml:space="preserve">   喷漆生产线用漆物料平衡表  单位：t/a</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1967"/>
              <w:gridCol w:w="1455"/>
              <w:gridCol w:w="1710"/>
              <w:gridCol w:w="1714"/>
            </w:tblGrid>
            <w:tr w14:paraId="4DBA7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restart"/>
                  <w:vAlign w:val="center"/>
                </w:tcPr>
                <w:p w14:paraId="1F8D94F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项目</w:t>
                  </w:r>
                </w:p>
              </w:tc>
              <w:tc>
                <w:tcPr>
                  <w:tcW w:w="1148" w:type="pct"/>
                  <w:vAlign w:val="center"/>
                </w:tcPr>
                <w:p w14:paraId="1597B4C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投入方</w:t>
                  </w:r>
                </w:p>
              </w:tc>
              <w:tc>
                <w:tcPr>
                  <w:tcW w:w="850" w:type="pct"/>
                  <w:vAlign w:val="center"/>
                </w:tcPr>
                <w:p w14:paraId="77FFC861">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2000" w:type="pct"/>
                  <w:gridSpan w:val="2"/>
                  <w:vAlign w:val="center"/>
                </w:tcPr>
                <w:p w14:paraId="2AB71C0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产出方</w:t>
                  </w:r>
                </w:p>
              </w:tc>
            </w:tr>
            <w:tr w14:paraId="544AA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04D25EBE">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15894AB6">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物料名称</w:t>
                  </w:r>
                </w:p>
              </w:tc>
              <w:tc>
                <w:tcPr>
                  <w:tcW w:w="850" w:type="pct"/>
                  <w:vAlign w:val="center"/>
                </w:tcPr>
                <w:p w14:paraId="4F03D79F">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数量</w:t>
                  </w:r>
                </w:p>
              </w:tc>
              <w:tc>
                <w:tcPr>
                  <w:tcW w:w="999" w:type="pct"/>
                  <w:vAlign w:val="center"/>
                </w:tcPr>
                <w:p w14:paraId="6173CEBE">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物料名称</w:t>
                  </w:r>
                </w:p>
              </w:tc>
              <w:tc>
                <w:tcPr>
                  <w:tcW w:w="1001" w:type="pct"/>
                  <w:shd w:val="clear" w:color="auto" w:fill="auto"/>
                  <w:vAlign w:val="center"/>
                </w:tcPr>
                <w:p w14:paraId="32CF430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数量</w:t>
                  </w:r>
                </w:p>
              </w:tc>
            </w:tr>
            <w:tr w14:paraId="1A697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restart"/>
                  <w:vAlign w:val="center"/>
                </w:tcPr>
                <w:p w14:paraId="4F88273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喷漆生产线用漆</w:t>
                  </w:r>
                </w:p>
              </w:tc>
              <w:tc>
                <w:tcPr>
                  <w:tcW w:w="1148" w:type="pct"/>
                  <w:vAlign w:val="center"/>
                </w:tcPr>
                <w:p w14:paraId="355606AF">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灰色环氧底漆</w:t>
                  </w:r>
                </w:p>
              </w:tc>
              <w:tc>
                <w:tcPr>
                  <w:tcW w:w="850" w:type="pct"/>
                  <w:vAlign w:val="center"/>
                </w:tcPr>
                <w:p w14:paraId="404B31E7">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2.118</w:t>
                  </w:r>
                </w:p>
              </w:tc>
              <w:tc>
                <w:tcPr>
                  <w:tcW w:w="999" w:type="pct"/>
                  <w:vAlign w:val="center"/>
                </w:tcPr>
                <w:p w14:paraId="1FC64BF4">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有组织废气</w:t>
                  </w:r>
                </w:p>
              </w:tc>
              <w:tc>
                <w:tcPr>
                  <w:tcW w:w="1001" w:type="pct"/>
                  <w:vAlign w:val="center"/>
                </w:tcPr>
                <w:p w14:paraId="155C8BB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0.247</w:t>
                  </w:r>
                </w:p>
              </w:tc>
            </w:tr>
            <w:tr w14:paraId="1894B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5B4836DA">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7C6D4280">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环氧快干固化</w:t>
                  </w:r>
                </w:p>
              </w:tc>
              <w:tc>
                <w:tcPr>
                  <w:tcW w:w="850" w:type="pct"/>
                  <w:vAlign w:val="center"/>
                </w:tcPr>
                <w:p w14:paraId="069D2BA1">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0.221</w:t>
                  </w:r>
                </w:p>
              </w:tc>
              <w:tc>
                <w:tcPr>
                  <w:tcW w:w="999" w:type="pct"/>
                  <w:vAlign w:val="center"/>
                </w:tcPr>
                <w:p w14:paraId="569F6E2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无组织废气</w:t>
                  </w:r>
                </w:p>
              </w:tc>
              <w:tc>
                <w:tcPr>
                  <w:tcW w:w="1001" w:type="pct"/>
                  <w:vAlign w:val="center"/>
                </w:tcPr>
                <w:p w14:paraId="3D5247AE">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0.566</w:t>
                  </w:r>
                </w:p>
              </w:tc>
            </w:tr>
            <w:tr w14:paraId="3AF80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1B9C6573">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59ECB3BC">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夏用环氧稀释剂</w:t>
                  </w:r>
                </w:p>
              </w:tc>
              <w:tc>
                <w:tcPr>
                  <w:tcW w:w="850" w:type="pct"/>
                  <w:vAlign w:val="center"/>
                </w:tcPr>
                <w:p w14:paraId="68B80DA9">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0.092</w:t>
                  </w:r>
                </w:p>
              </w:tc>
              <w:tc>
                <w:tcPr>
                  <w:tcW w:w="999" w:type="pct"/>
                  <w:vAlign w:val="center"/>
                </w:tcPr>
                <w:p w14:paraId="77F0E87A">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处理量颗粒物（漆渣）</w:t>
                  </w:r>
                </w:p>
              </w:tc>
              <w:tc>
                <w:tcPr>
                  <w:tcW w:w="1001" w:type="pct"/>
                  <w:vAlign w:val="center"/>
                </w:tcPr>
                <w:p w14:paraId="70139996">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0.885</w:t>
                  </w:r>
                </w:p>
              </w:tc>
            </w:tr>
            <w:tr w14:paraId="10F36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582600EE">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44FE869F">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黄色聚氨酯面漆</w:t>
                  </w:r>
                </w:p>
              </w:tc>
              <w:tc>
                <w:tcPr>
                  <w:tcW w:w="850" w:type="pct"/>
                  <w:vAlign w:val="center"/>
                </w:tcPr>
                <w:p w14:paraId="737F6BA2">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1.085</w:t>
                  </w:r>
                </w:p>
              </w:tc>
              <w:tc>
                <w:tcPr>
                  <w:tcW w:w="999" w:type="pct"/>
                  <w:vAlign w:val="center"/>
                </w:tcPr>
                <w:p w14:paraId="7A5118F0">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处理量废气</w:t>
                  </w:r>
                </w:p>
              </w:tc>
              <w:tc>
                <w:tcPr>
                  <w:tcW w:w="1001" w:type="pct"/>
                  <w:vAlign w:val="center"/>
                </w:tcPr>
                <w:p w14:paraId="1436AF6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3.97</w:t>
                  </w:r>
                </w:p>
              </w:tc>
            </w:tr>
            <w:tr w14:paraId="13A12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63DFF642">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21F73272">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聚氨酯固化剂</w:t>
                  </w:r>
                </w:p>
              </w:tc>
              <w:tc>
                <w:tcPr>
                  <w:tcW w:w="850" w:type="pct"/>
                  <w:vAlign w:val="center"/>
                </w:tcPr>
                <w:p w14:paraId="23570B8B">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0.198</w:t>
                  </w:r>
                </w:p>
              </w:tc>
              <w:tc>
                <w:tcPr>
                  <w:tcW w:w="999" w:type="pct"/>
                  <w:shd w:val="clear" w:color="auto" w:fill="auto"/>
                  <w:vAlign w:val="center"/>
                </w:tcPr>
                <w:p w14:paraId="5D629BF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漆膜（工件附着）</w:t>
                  </w:r>
                </w:p>
              </w:tc>
              <w:tc>
                <w:tcPr>
                  <w:tcW w:w="1001" w:type="pct"/>
                  <w:shd w:val="clear" w:color="auto" w:fill="auto"/>
                  <w:vAlign w:val="center"/>
                </w:tcPr>
                <w:p w14:paraId="2B05ABE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4.019</w:t>
                  </w:r>
                </w:p>
              </w:tc>
            </w:tr>
            <w:tr w14:paraId="609CE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293F1F3D">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759E3E4C">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夏用面漆稀释剂</w:t>
                  </w:r>
                </w:p>
              </w:tc>
              <w:tc>
                <w:tcPr>
                  <w:tcW w:w="850" w:type="pct"/>
                  <w:vAlign w:val="center"/>
                </w:tcPr>
                <w:p w14:paraId="52C8F354">
                  <w:pPr>
                    <w:adjustRightInd w:val="0"/>
                    <w:snapToGrid w:val="0"/>
                    <w:ind w:left="62"/>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0.093</w:t>
                  </w:r>
                </w:p>
              </w:tc>
              <w:tc>
                <w:tcPr>
                  <w:tcW w:w="999" w:type="pct"/>
                  <w:vAlign w:val="center"/>
                </w:tcPr>
                <w:p w14:paraId="022BB1F7">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6156F90A">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70FB1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7ED170C7">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43E082B8">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小计</w:t>
                  </w:r>
                </w:p>
              </w:tc>
              <w:tc>
                <w:tcPr>
                  <w:tcW w:w="850" w:type="pct"/>
                  <w:vAlign w:val="center"/>
                </w:tcPr>
                <w:p w14:paraId="1703B393">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3.807</w:t>
                  </w:r>
                </w:p>
              </w:tc>
              <w:tc>
                <w:tcPr>
                  <w:tcW w:w="999" w:type="pct"/>
                  <w:vAlign w:val="center"/>
                </w:tcPr>
                <w:p w14:paraId="040CC302">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78A1C47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5B3E2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restart"/>
                  <w:vAlign w:val="center"/>
                </w:tcPr>
                <w:p w14:paraId="6BD08009">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现有工程生产线用漆</w:t>
                  </w:r>
                </w:p>
              </w:tc>
              <w:tc>
                <w:tcPr>
                  <w:tcW w:w="1148" w:type="pct"/>
                  <w:vAlign w:val="center"/>
                </w:tcPr>
                <w:p w14:paraId="38CCBD00">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底漆</w:t>
                  </w:r>
                </w:p>
              </w:tc>
              <w:tc>
                <w:tcPr>
                  <w:tcW w:w="850" w:type="pct"/>
                  <w:vAlign w:val="center"/>
                </w:tcPr>
                <w:p w14:paraId="217B79DA">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1.5</w:t>
                  </w:r>
                </w:p>
              </w:tc>
              <w:tc>
                <w:tcPr>
                  <w:tcW w:w="999" w:type="pct"/>
                  <w:vAlign w:val="center"/>
                </w:tcPr>
                <w:p w14:paraId="18FE534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6FCE5FC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342AA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7AC9ACF1">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25FC9D47">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面漆</w:t>
                  </w:r>
                </w:p>
              </w:tc>
              <w:tc>
                <w:tcPr>
                  <w:tcW w:w="850" w:type="pct"/>
                  <w:vAlign w:val="center"/>
                </w:tcPr>
                <w:p w14:paraId="672A6CDB">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1.5</w:t>
                  </w:r>
                </w:p>
              </w:tc>
              <w:tc>
                <w:tcPr>
                  <w:tcW w:w="999" w:type="pct"/>
                  <w:vAlign w:val="center"/>
                </w:tcPr>
                <w:p w14:paraId="619EF303">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29DD91AF">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6136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63560005">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754BA92A">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固化剂</w:t>
                  </w:r>
                </w:p>
              </w:tc>
              <w:tc>
                <w:tcPr>
                  <w:tcW w:w="850" w:type="pct"/>
                  <w:vAlign w:val="center"/>
                </w:tcPr>
                <w:p w14:paraId="72A598EE">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1.65</w:t>
                  </w:r>
                </w:p>
              </w:tc>
              <w:tc>
                <w:tcPr>
                  <w:tcW w:w="999" w:type="pct"/>
                  <w:vAlign w:val="center"/>
                </w:tcPr>
                <w:p w14:paraId="55E8D939">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60E235CC">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25315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0DA36944">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510A1132">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稀释剂</w:t>
                  </w:r>
                </w:p>
              </w:tc>
              <w:tc>
                <w:tcPr>
                  <w:tcW w:w="850" w:type="pct"/>
                  <w:vAlign w:val="center"/>
                </w:tcPr>
                <w:p w14:paraId="0A428D8C">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1.2</w:t>
                  </w:r>
                </w:p>
              </w:tc>
              <w:tc>
                <w:tcPr>
                  <w:tcW w:w="999" w:type="pct"/>
                  <w:vAlign w:val="center"/>
                </w:tcPr>
                <w:p w14:paraId="363CFA4B">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5C5ADF31">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5843A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9" w:type="pct"/>
                  <w:vMerge w:val="continue"/>
                  <w:vAlign w:val="center"/>
                </w:tcPr>
                <w:p w14:paraId="70663394">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148" w:type="pct"/>
                  <w:vAlign w:val="center"/>
                </w:tcPr>
                <w:p w14:paraId="1BD59E44">
                  <w:pPr>
                    <w:autoSpaceDE w:val="0"/>
                    <w:autoSpaceDN w:val="0"/>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小计</w:t>
                  </w:r>
                </w:p>
              </w:tc>
              <w:tc>
                <w:tcPr>
                  <w:tcW w:w="850" w:type="pct"/>
                  <w:vAlign w:val="center"/>
                </w:tcPr>
                <w:p w14:paraId="6D2566F3">
                  <w:pPr>
                    <w:autoSpaceDE w:val="0"/>
                    <w:autoSpaceDN w:val="0"/>
                    <w:adjustRightInd w:val="0"/>
                    <w:snapToGrid w:val="0"/>
                    <w:jc w:val="center"/>
                    <w:rPr>
                      <w:rFonts w:hint="default" w:ascii="Times New Roman" w:hAnsi="Times New Roman" w:eastAsia="等线"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5.85</w:t>
                  </w:r>
                </w:p>
              </w:tc>
              <w:tc>
                <w:tcPr>
                  <w:tcW w:w="999" w:type="pct"/>
                  <w:vAlign w:val="center"/>
                </w:tcPr>
                <w:p w14:paraId="4EEB66B9">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37D09728">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66956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8" w:type="pct"/>
                  <w:gridSpan w:val="2"/>
                  <w:vAlign w:val="center"/>
                </w:tcPr>
                <w:p w14:paraId="372E41BB">
                  <w:pPr>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喷枪清洗剂</w:t>
                  </w:r>
                </w:p>
              </w:tc>
              <w:tc>
                <w:tcPr>
                  <w:tcW w:w="850" w:type="pct"/>
                  <w:vAlign w:val="center"/>
                </w:tcPr>
                <w:p w14:paraId="049C6613">
                  <w:pPr>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14:textFill>
                        <w14:solidFill>
                          <w14:schemeClr w14:val="tx1"/>
                        </w14:solidFill>
                      </w14:textFill>
                    </w:rPr>
                    <w:t>0.03</w:t>
                  </w:r>
                </w:p>
              </w:tc>
              <w:tc>
                <w:tcPr>
                  <w:tcW w:w="999" w:type="pct"/>
                  <w:vAlign w:val="center"/>
                </w:tcPr>
                <w:p w14:paraId="7F0490C9">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1001" w:type="pct"/>
                  <w:vAlign w:val="center"/>
                </w:tcPr>
                <w:p w14:paraId="6D335D76">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r>
            <w:tr w14:paraId="7A0BA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8" w:type="pct"/>
                  <w:gridSpan w:val="2"/>
                  <w:vAlign w:val="center"/>
                </w:tcPr>
                <w:p w14:paraId="0DB0AD5C">
                  <w:pPr>
                    <w:widowControl/>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合计</w:t>
                  </w:r>
                </w:p>
              </w:tc>
              <w:tc>
                <w:tcPr>
                  <w:tcW w:w="850" w:type="pct"/>
                  <w:vAlign w:val="center"/>
                </w:tcPr>
                <w:p w14:paraId="4DF7634F">
                  <w:pPr>
                    <w:widowControl/>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9.687</w:t>
                  </w:r>
                </w:p>
              </w:tc>
              <w:tc>
                <w:tcPr>
                  <w:tcW w:w="999" w:type="pct"/>
                  <w:vAlign w:val="center"/>
                </w:tcPr>
                <w:p w14:paraId="26A9B314">
                  <w:pPr>
                    <w:widowControl/>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合计</w:t>
                  </w:r>
                </w:p>
              </w:tc>
              <w:tc>
                <w:tcPr>
                  <w:tcW w:w="1001" w:type="pct"/>
                  <w:vAlign w:val="center"/>
                </w:tcPr>
                <w:p w14:paraId="5747D6E3">
                  <w:pPr>
                    <w:widowControl/>
                    <w:autoSpaceDE w:val="0"/>
                    <w:autoSpaceDN w:val="0"/>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9.687</w:t>
                  </w:r>
                </w:p>
              </w:tc>
            </w:tr>
          </w:tbl>
          <w:p w14:paraId="2D079086">
            <w:pPr>
              <w:rPr>
                <w:rFonts w:hint="default" w:ascii="Times New Roman" w:hAnsi="Times New Roman" w:cs="Times New Roman"/>
                <w:color w:val="000000" w:themeColor="text1"/>
                <w:highlight w:val="none"/>
                <w14:textFill>
                  <w14:solidFill>
                    <w14:schemeClr w14:val="tx1"/>
                  </w14:solidFill>
                </w14:textFill>
              </w:rPr>
            </w:pPr>
          </w:p>
          <w:p w14:paraId="16402B57">
            <w:pPr>
              <w:spacing w:line="360" w:lineRule="auto"/>
              <w:ind w:firstLine="420" w:firstLineChars="200"/>
              <w:rPr>
                <w:rFonts w:hint="default" w:ascii="Times New Roman" w:hAnsi="Times New Roman" w:cs="Times New Roman"/>
                <w:color w:val="000000" w:themeColor="text1"/>
                <w:highlight w:val="none"/>
                <w14:textFill>
                  <w14:solidFill>
                    <w14:schemeClr w14:val="tx1"/>
                  </w14:solidFill>
                </w14:textFill>
              </w:rPr>
            </w:pPr>
          </w:p>
        </w:tc>
      </w:tr>
    </w:tbl>
    <w:p w14:paraId="343EF04A">
      <w:pPr>
        <w:pStyle w:val="30"/>
        <w:jc w:val="both"/>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sectPr>
          <w:footerReference r:id="rId6" w:type="default"/>
          <w:pgSz w:w="11906" w:h="16838"/>
          <w:pgMar w:top="1701" w:right="1531" w:bottom="1701" w:left="1531" w:header="851" w:footer="851" w:gutter="0"/>
          <w:cols w:space="720" w:num="1"/>
          <w:docGrid w:linePitch="312" w:charSpace="0"/>
        </w:sectPr>
      </w:pPr>
    </w:p>
    <w:p w14:paraId="6D95284A">
      <w:pPr>
        <w:spacing w:line="360" w:lineRule="auto"/>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object>
          <v:shape id="_x0000_i1026" o:spt="75" type="#_x0000_t75" style="height:419pt;width:475.7pt;" o:ole="t" filled="f" o:preferrelative="t" stroked="t" coordsize="21600,21600">
            <v:path/>
            <v:fill on="f" focussize="0,0"/>
            <v:stroke color="#000000"/>
            <v:imagedata r:id="rId14" o:title=""/>
            <o:lock v:ext="edit" aspectratio="f"/>
            <w10:wrap type="none"/>
            <w10:anchorlock/>
          </v:shape>
          <o:OLEObject Type="Embed" ProgID="Visio.Drawing.11" ShapeID="_x0000_i1026" DrawAspect="Content" ObjectID="_1468075726" r:id="rId13">
            <o:LockedField>false</o:LockedField>
          </o:OLEObject>
        </w:object>
      </w:r>
    </w:p>
    <w:p w14:paraId="0E377DD2">
      <w:pPr>
        <w:spacing w:line="360" w:lineRule="auto"/>
        <w:ind w:firstLine="422" w:firstLineChars="200"/>
        <w:jc w:val="center"/>
        <w:rPr>
          <w:rFonts w:hint="default" w:ascii="Times New Roman" w:hAnsi="Times New Roman" w:eastAsia="黑体" w:cs="Times New Roman"/>
          <w:snapToGrid w:val="0"/>
          <w:color w:val="000000" w:themeColor="text1"/>
          <w:sz w:val="36"/>
          <w:szCs w:val="36"/>
          <w:highlight w:val="none"/>
          <w:u w:val="single"/>
          <w14:textFill>
            <w14:solidFill>
              <w14:schemeClr w14:val="tx1"/>
            </w14:solidFill>
          </w14:textFill>
        </w:rPr>
      </w:pPr>
      <w:r>
        <w:rPr>
          <w:rFonts w:hint="default" w:ascii="Times New Roman" w:hAnsi="Times New Roman" w:cs="Times New Roman"/>
          <w:b/>
          <w:color w:val="000000" w:themeColor="text1"/>
          <w:highlight w:val="none"/>
          <w:u w:val="single"/>
          <w14:textFill>
            <w14:solidFill>
              <w14:schemeClr w14:val="tx1"/>
            </w14:solidFill>
          </w14:textFill>
        </w:rPr>
        <w:t>图2-</w:t>
      </w:r>
      <w:r>
        <w:rPr>
          <w:rFonts w:hint="default" w:ascii="Times New Roman" w:hAnsi="Times New Roman" w:cs="Times New Roman"/>
          <w:b/>
          <w:color w:val="000000" w:themeColor="text1"/>
          <w:highlight w:val="none"/>
          <w:u w:val="single"/>
          <w14:textFill>
            <w14:solidFill>
              <w14:schemeClr w14:val="tx1"/>
            </w14:solidFill>
          </w14:textFill>
        </w:rPr>
        <w:t>2</w:t>
      </w:r>
      <w:r>
        <w:rPr>
          <w:rFonts w:hint="default" w:ascii="Times New Roman" w:hAnsi="Times New Roman" w:cs="Times New Roman"/>
          <w:b/>
          <w:color w:val="000000" w:themeColor="text1"/>
          <w:highlight w:val="none"/>
          <w:u w:val="single"/>
          <w14:textFill>
            <w14:solidFill>
              <w14:schemeClr w14:val="tx1"/>
            </w14:solidFill>
          </w14:textFill>
        </w:rPr>
        <w:t xml:space="preserve">   </w:t>
      </w:r>
      <w:r>
        <w:rPr>
          <w:rFonts w:hint="default" w:ascii="Times New Roman" w:hAnsi="Times New Roman" w:cs="Times New Roman"/>
          <w:b/>
          <w:color w:val="000000" w:themeColor="text1"/>
          <w:highlight w:val="none"/>
          <w:u w:val="single"/>
          <w14:textFill>
            <w14:solidFill>
              <w14:schemeClr w14:val="tx1"/>
            </w14:solidFill>
          </w14:textFill>
        </w:rPr>
        <w:t>全厂</w:t>
      </w:r>
      <w:r>
        <w:rPr>
          <w:rFonts w:hint="default" w:ascii="Times New Roman" w:hAnsi="Times New Roman" w:cs="Times New Roman"/>
          <w:b/>
          <w:color w:val="000000" w:themeColor="text1"/>
          <w:highlight w:val="none"/>
          <w:u w:val="single"/>
          <w14:textFill>
            <w14:solidFill>
              <w14:schemeClr w14:val="tx1"/>
            </w14:solidFill>
          </w14:textFill>
        </w:rPr>
        <w:t>喷漆生产线</w:t>
      </w:r>
      <w:r>
        <w:rPr>
          <w:rFonts w:hint="default" w:ascii="Times New Roman" w:hAnsi="Times New Roman" w:cs="Times New Roman"/>
          <w:b/>
          <w:color w:val="000000" w:themeColor="text1"/>
          <w:highlight w:val="none"/>
          <w:u w:val="single"/>
          <w14:textFill>
            <w14:solidFill>
              <w14:schemeClr w14:val="tx1"/>
            </w14:solidFill>
          </w14:textFill>
        </w:rPr>
        <w:t>挥发性有机物</w:t>
      </w:r>
      <w:r>
        <w:rPr>
          <w:rFonts w:hint="default" w:ascii="Times New Roman" w:hAnsi="Times New Roman" w:cs="Times New Roman"/>
          <w:b/>
          <w:color w:val="000000" w:themeColor="text1"/>
          <w:highlight w:val="none"/>
          <w:u w:val="single"/>
          <w14:textFill>
            <w14:solidFill>
              <w14:schemeClr w14:val="tx1"/>
            </w14:solidFill>
          </w14:textFill>
        </w:rPr>
        <w:t>平衡图  单位：t/a</w:t>
      </w:r>
    </w:p>
    <w:p w14:paraId="01E29A2A">
      <w:pPr>
        <w:pStyle w:val="30"/>
        <w:jc w:val="both"/>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sectPr>
          <w:pgSz w:w="16838" w:h="11905" w:orient="landscape"/>
          <w:pgMar w:top="1531" w:right="1701" w:bottom="1531" w:left="1701" w:header="851" w:footer="850" w:gutter="0"/>
          <w:cols w:space="0" w:num="1"/>
          <w:docGrid w:linePitch="312" w:charSpace="0"/>
        </w:sectPr>
      </w:pPr>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605"/>
      </w:tblGrid>
      <w:tr w14:paraId="7DCE4C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1" w:hRule="atLeast"/>
          <w:jc w:val="center"/>
        </w:trPr>
        <w:tc>
          <w:tcPr>
            <w:tcW w:w="827" w:type="dxa"/>
            <w:vAlign w:val="center"/>
          </w:tcPr>
          <w:p w14:paraId="6D40EB90">
            <w:pPr>
              <w:pStyle w:val="30"/>
              <w:adjustRightInd w:val="0"/>
              <w:snapToGrid w:val="0"/>
              <w:spacing w:before="0" w:beforeAutospacing="0" w:after="0" w:afterAutospacing="0"/>
              <w:jc w:val="center"/>
              <w:rPr>
                <w:rFonts w:hint="default" w:ascii="Times New Roman" w:hAnsi="Times New Roman" w:cs="Times New Roman"/>
                <w:color w:val="000000" w:themeColor="text1"/>
                <w:szCs w:val="24"/>
                <w:highlight w:val="none"/>
                <w14:textFill>
                  <w14:solidFill>
                    <w14:schemeClr w14:val="tx1"/>
                  </w14:solidFill>
                </w14:textFill>
              </w:rPr>
            </w:pPr>
          </w:p>
        </w:tc>
        <w:tc>
          <w:tcPr>
            <w:tcW w:w="8092" w:type="dxa"/>
          </w:tcPr>
          <w:p w14:paraId="6E99D6E4">
            <w:pPr>
              <w:adjustRightInd w:val="0"/>
              <w:snapToGrid w:val="0"/>
              <w:spacing w:line="360" w:lineRule="auto"/>
              <w:ind w:firstLine="482" w:firstLineChars="200"/>
              <w:jc w:val="left"/>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9、劳动定员及工作制度</w:t>
            </w:r>
          </w:p>
          <w:p w14:paraId="1ED5E90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劳动定员：本项目定员20人由原厂调配，不新增员工。</w:t>
            </w:r>
          </w:p>
          <w:p w14:paraId="0F59A9A8">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工作制度：年工作日300天，日工作8小时，其中：喷漆及烘干工作时间为1020h/a。</w:t>
            </w:r>
          </w:p>
        </w:tc>
      </w:tr>
      <w:tr w14:paraId="1924D2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91" w:hRule="atLeast"/>
          <w:jc w:val="center"/>
        </w:trPr>
        <w:tc>
          <w:tcPr>
            <w:tcW w:w="827" w:type="dxa"/>
            <w:vAlign w:val="center"/>
          </w:tcPr>
          <w:p w14:paraId="6E4772A5">
            <w:pPr>
              <w:pStyle w:val="30"/>
              <w:adjustRightInd w:val="0"/>
              <w:snapToGrid w:val="0"/>
              <w:spacing w:before="0" w:beforeAutospacing="0" w:after="0" w:afterAutospacing="0"/>
              <w:jc w:val="center"/>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工艺流程和产排污环节</w:t>
            </w:r>
          </w:p>
        </w:tc>
        <w:tc>
          <w:tcPr>
            <w:tcW w:w="8092" w:type="dxa"/>
          </w:tcPr>
          <w:p w14:paraId="46061682">
            <w:pPr>
              <w:adjustRightInd w:val="0"/>
              <w:snapToGrid w:val="0"/>
              <w:spacing w:line="360" w:lineRule="auto"/>
              <w:ind w:firstLine="56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8"/>
                <w:szCs w:val="28"/>
                <w:highlight w:val="none"/>
                <w14:textFill>
                  <w14:solidFill>
                    <w14:schemeClr w14:val="tx1"/>
                  </w14:solidFill>
                </w14:textFill>
              </w:rPr>
              <w:t>1、</w:t>
            </w:r>
            <w:r>
              <w:rPr>
                <w:rFonts w:hint="default" w:ascii="Times New Roman" w:hAnsi="Times New Roman" w:cs="Times New Roman"/>
                <w:b/>
                <w:bCs/>
                <w:color w:val="000000" w:themeColor="text1"/>
                <w:sz w:val="24"/>
                <w:highlight w:val="none"/>
                <w14:textFill>
                  <w14:solidFill>
                    <w14:schemeClr w14:val="tx1"/>
                  </w14:solidFill>
                </w14:textFill>
              </w:rPr>
              <w:t>施工期：</w:t>
            </w:r>
          </w:p>
          <w:p w14:paraId="729A48B9">
            <w:pPr>
              <w:pStyle w:val="65"/>
              <w:topLinePunct w:val="0"/>
              <w:adjustRightInd/>
              <w:snapToGrid/>
              <w:ind w:firstLine="470" w:firstLineChars="19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本项目位于衡东县大浦镇衡东经济开发区</w:t>
            </w:r>
            <w:r>
              <w:rPr>
                <w:rFonts w:hint="default" w:ascii="Times New Roman" w:hAnsi="Times New Roman" w:eastAsia="宋体" w:cs="Times New Roman"/>
                <w:color w:val="000000" w:themeColor="text1"/>
                <w:highlight w:val="none"/>
                <w14:textFill>
                  <w14:solidFill>
                    <w14:schemeClr w14:val="tx1"/>
                  </w14:solidFill>
                </w14:textFill>
              </w:rPr>
              <w:t>宁国路</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在现有</w:t>
            </w:r>
            <w:r>
              <w:rPr>
                <w:rFonts w:hint="default" w:ascii="Times New Roman" w:hAnsi="Times New Roman" w:cs="Times New Roman"/>
                <w:color w:val="000000" w:themeColor="text1"/>
                <w:highlight w:val="none"/>
                <w14:textFill>
                  <w14:solidFill>
                    <w14:schemeClr w14:val="tx1"/>
                  </w14:solidFill>
                </w14:textFill>
              </w:rPr>
              <w:t>湖南朝阳机电股份有限公司厂房</w:t>
            </w:r>
            <w:r>
              <w:rPr>
                <w:rFonts w:hint="default" w:ascii="Times New Roman" w:hAnsi="Times New Roman" w:eastAsia="宋体" w:cs="Times New Roman"/>
                <w:color w:val="000000" w:themeColor="text1"/>
                <w:highlight w:val="none"/>
                <w14:textFill>
                  <w14:solidFill>
                    <w14:schemeClr w14:val="tx1"/>
                  </w14:solidFill>
                </w14:textFill>
              </w:rPr>
              <w:t>进行改扩建</w:t>
            </w:r>
            <w:r>
              <w:rPr>
                <w:rFonts w:hint="default" w:ascii="Times New Roman" w:hAnsi="Times New Roman" w:cs="Times New Roman"/>
                <w:color w:val="000000" w:themeColor="text1"/>
                <w:highlight w:val="none"/>
                <w14:textFill>
                  <w14:solidFill>
                    <w14:schemeClr w14:val="tx1"/>
                  </w14:solidFill>
                </w14:textFill>
              </w:rPr>
              <w:t>，因此施工期建设内容主要为设备安装，涉及土建过程不多，会产生少量施工扬尘、施工废水、噪声和建筑垃圾等，施工期带来的环境影响较小，做简单分析。</w:t>
            </w:r>
          </w:p>
          <w:p w14:paraId="23E4D6B2">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2、运营期：</w:t>
            </w:r>
          </w:p>
          <w:p w14:paraId="1D0D3D5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本项目生产产品为设备结构件，总的生产工艺流程即产污环节如下图。</w:t>
            </w:r>
          </w:p>
          <w:p w14:paraId="1FF5E6F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项目金属下料工序中采用激光切割机和等离子切割机，机加工工序为简单钻孔，不使用切削液、无需冷却；其他产污环节较为严重的环节主要为铆焊、</w:t>
            </w:r>
            <w:r>
              <w:rPr>
                <w:rFonts w:hint="default" w:ascii="Times New Roman" w:hAnsi="Times New Roman" w:cs="Times New Roman"/>
                <w:color w:val="000000" w:themeColor="text1"/>
                <w:sz w:val="24"/>
                <w:highlight w:val="none"/>
                <w:u w:val="single"/>
                <w14:textFill>
                  <w14:solidFill>
                    <w14:schemeClr w14:val="tx1"/>
                  </w14:solidFill>
                </w14:textFill>
              </w:rPr>
              <w:t>填充、</w:t>
            </w:r>
            <w:r>
              <w:rPr>
                <w:rFonts w:hint="default" w:ascii="Times New Roman" w:hAnsi="Times New Roman" w:cs="Times New Roman"/>
                <w:color w:val="000000" w:themeColor="text1"/>
                <w:sz w:val="24"/>
                <w:highlight w:val="none"/>
                <w14:textFill>
                  <w14:solidFill>
                    <w14:schemeClr w14:val="tx1"/>
                  </w14:solidFill>
                </w14:textFill>
              </w:rPr>
              <w:t>喷漆工序，本次评价将单独将三个工序展开详细介绍工艺流程，具体见以下内容。</w:t>
            </w:r>
          </w:p>
          <w:p w14:paraId="37A9DDA8">
            <w:pPr>
              <w:pStyle w:val="66"/>
              <w:adjustRightInd w:val="0"/>
              <w:snapToGrid w:val="0"/>
              <w:spacing w:after="0"/>
              <w:ind w:left="0" w:leftChars="0" w:firstLine="48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7" o:spt="75" type="#_x0000_t75" style="height:389.85pt;width:163.25pt;" o:ole="t" filled="f" o:preferrelative="t" stroked="f" coordsize="21600,21600">
                  <v:path/>
                  <v:fill on="f" focussize="0,0"/>
                  <v:stroke on="f"/>
                  <v:imagedata r:id="rId16" o:title=""/>
                  <o:lock v:ext="edit" aspectratio="f"/>
                  <w10:wrap type="none"/>
                  <w10:anchorlock/>
                </v:shape>
                <o:OLEObject Type="Embed" ProgID="Visio.Drawing.11" ShapeID="_x0000_i1027" DrawAspect="Content" ObjectID="_1468075727" r:id="rId15">
                  <o:LockedField>false</o:LockedField>
                </o:OLEObject>
              </w:object>
            </w:r>
          </w:p>
          <w:p w14:paraId="0AA946A8">
            <w:pPr>
              <w:widowControl/>
              <w:autoSpaceDE w:val="0"/>
              <w:autoSpaceDN w:val="0"/>
              <w:spacing w:line="360" w:lineRule="auto"/>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图2-</w:t>
            </w:r>
            <w:r>
              <w:rPr>
                <w:rFonts w:hint="default" w:ascii="Times New Roman" w:hAnsi="Times New Roman" w:cs="Times New Roman"/>
                <w:b/>
                <w:bCs/>
                <w:color w:val="000000" w:themeColor="text1"/>
                <w:highlight w:val="none"/>
                <w14:textFill>
                  <w14:solidFill>
                    <w14:schemeClr w14:val="tx1"/>
                  </w14:solidFill>
                </w14:textFill>
              </w:rPr>
              <w:t>3</w:t>
            </w:r>
            <w:r>
              <w:rPr>
                <w:rFonts w:hint="default" w:ascii="Times New Roman" w:hAnsi="Times New Roman" w:cs="Times New Roman"/>
                <w:b/>
                <w:bCs/>
                <w:color w:val="000000" w:themeColor="text1"/>
                <w:highlight w:val="none"/>
                <w14:textFill>
                  <w14:solidFill>
                    <w14:schemeClr w14:val="tx1"/>
                  </w14:solidFill>
                </w14:textFill>
              </w:rPr>
              <w:t xml:space="preserve">  项目总生产工艺流程及产污环节分析图</w:t>
            </w:r>
          </w:p>
          <w:p w14:paraId="1B085F98">
            <w:pPr>
              <w:pStyle w:val="66"/>
              <w:adjustRightInd w:val="0"/>
              <w:snapToGrid w:val="0"/>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（1）铆焊生产工艺流程及产污环节</w:t>
            </w:r>
          </w:p>
          <w:p w14:paraId="2B48056A">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8" o:spt="75" type="#_x0000_t75" style="height:83.25pt;width:415.75pt;" o:ole="t" filled="f" o:preferrelative="t" stroked="f" coordsize="21600,21600">
                  <v:path/>
                  <v:fill on="f" focussize="0,0"/>
                  <v:stroke on="f" joinstyle="miter"/>
                  <v:imagedata r:id="rId18" o:title=""/>
                  <o:lock v:ext="edit" aspectratio="f"/>
                  <w10:wrap type="none"/>
                  <w10:anchorlock/>
                </v:shape>
                <o:OLEObject Type="Embed" ProgID="Visio.Drawing.11" ShapeID="_x0000_i1028" DrawAspect="Content" ObjectID="_1468075728" r:id="rId17">
                  <o:LockedField>false</o:LockedField>
                </o:OLEObject>
              </w:object>
            </w:r>
            <w:r>
              <w:rPr>
                <w:rFonts w:hint="default" w:ascii="Times New Roman" w:hAnsi="Times New Roman" w:cs="Times New Roman"/>
                <w:b/>
                <w:bCs/>
                <w:color w:val="000000" w:themeColor="text1"/>
                <w:highlight w:val="none"/>
                <w14:textFill>
                  <w14:solidFill>
                    <w14:schemeClr w14:val="tx1"/>
                  </w14:solidFill>
                </w14:textFill>
              </w:rPr>
              <w:t>图2-</w:t>
            </w:r>
            <w:r>
              <w:rPr>
                <w:rFonts w:hint="default" w:ascii="Times New Roman" w:hAnsi="Times New Roman" w:cs="Times New Roman"/>
                <w:b/>
                <w:bCs/>
                <w:color w:val="000000" w:themeColor="text1"/>
                <w:highlight w:val="none"/>
                <w14:textFill>
                  <w14:solidFill>
                    <w14:schemeClr w14:val="tx1"/>
                  </w14:solidFill>
                </w14:textFill>
              </w:rPr>
              <w:t>4</w:t>
            </w:r>
            <w:r>
              <w:rPr>
                <w:rFonts w:hint="default" w:ascii="Times New Roman" w:hAnsi="Times New Roman" w:cs="Times New Roman"/>
                <w:b/>
                <w:bCs/>
                <w:color w:val="000000" w:themeColor="text1"/>
                <w:highlight w:val="none"/>
                <w14:textFill>
                  <w14:solidFill>
                    <w14:schemeClr w14:val="tx1"/>
                  </w14:solidFill>
                </w14:textFill>
              </w:rPr>
              <w:t xml:space="preserve">  项目铆焊生产工艺流程及产污环节分析图</w:t>
            </w:r>
          </w:p>
          <w:p w14:paraId="05047A05">
            <w:pPr>
              <w:tabs>
                <w:tab w:val="left" w:pos="7071"/>
              </w:tabs>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工艺流程描述如下：</w:t>
            </w:r>
          </w:p>
          <w:p w14:paraId="17C9C25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①下料：下料是指确定制作某个设备或产品所需的材料形状、数量或质量后，从整个或整批材料中取下一定形状、数量或质量的材料的操作过程。该工序会产生下料粉尘、金属碎屑和噪声。</w:t>
            </w:r>
          </w:p>
          <w:p w14:paraId="323284F6">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②焊接：焊接，也称作熔接，是一种以加热、高温或者高压的方式接合金属或其他热塑性材料如塑料的制造工艺及技术。该工序会产生焊接烟尘、焊渣和噪声。</w:t>
            </w:r>
          </w:p>
          <w:p w14:paraId="5723B206">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③组装：把多个零件组成一个整体。该工序会产生噪声。</w:t>
            </w:r>
          </w:p>
          <w:p w14:paraId="0F717629">
            <w:pPr>
              <w:tabs>
                <w:tab w:val="left" w:pos="7071"/>
              </w:tabs>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w:t>
            </w:r>
            <w:r>
              <w:rPr>
                <w:rFonts w:hint="default" w:ascii="Times New Roman" w:hAnsi="Times New Roman" w:cs="Times New Roman"/>
                <w:color w:val="000000" w:themeColor="text1"/>
                <w:sz w:val="24"/>
                <w:highlight w:val="none"/>
                <w14:textFill>
                  <w14:solidFill>
                    <w14:schemeClr w14:val="tx1"/>
                  </w14:solidFill>
                </w14:textFill>
              </w:rPr>
              <w:t>检验：铆焊件在经过加工后通过试压机进行检测。该工序会产生残次品。</w:t>
            </w:r>
          </w:p>
          <w:p w14:paraId="0ECEBE8A">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（2）填充生产工艺</w:t>
            </w:r>
            <w:r>
              <w:rPr>
                <w:rFonts w:hint="default" w:ascii="Times New Roman" w:hAnsi="Times New Roman" w:cs="Times New Roman"/>
                <w:color w:val="000000" w:themeColor="text1"/>
                <w:highlight w:val="none"/>
                <w:u w:val="single"/>
                <w14:textFill>
                  <w14:solidFill>
                    <w14:schemeClr w14:val="tx1"/>
                  </w14:solidFill>
                </w14:textFill>
              </w:rPr>
              <w:t>流程及产污环节</w:t>
            </w:r>
          </w:p>
          <w:p w14:paraId="165C6018">
            <w:pPr>
              <w:pStyle w:val="66"/>
              <w:adjustRightInd w:val="0"/>
              <w:snapToGrid w:val="0"/>
              <w:spacing w:after="0"/>
              <w:ind w:left="0" w:leftChars="0" w:firstLine="0" w:firstLineChars="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object>
                <v:shape id="_x0000_i1029" o:spt="75" type="#_x0000_t75" style="height:145.6pt;width:404pt;" o:ole="t" filled="f" o:preferrelative="t" stroked="t" coordsize="21600,21600">
                  <v:path/>
                  <v:fill on="f" focussize="0,0"/>
                  <v:stroke color="#000000"/>
                  <v:imagedata r:id="rId20" cropleft="3550f" cropright="1977f" o:title=""/>
                  <o:lock v:ext="edit" aspectratio="f"/>
                  <w10:wrap type="none"/>
                  <w10:anchorlock/>
                </v:shape>
                <o:OLEObject Type="Embed" ProgID="Visio.Drawing.11" ShapeID="_x0000_i1029" DrawAspect="Content" ObjectID="_1468075729" r:id="rId19">
                  <o:LockedField>false</o:LockedField>
                </o:OLEObject>
              </w:object>
            </w:r>
          </w:p>
          <w:p w14:paraId="2C707E17">
            <w:pPr>
              <w:pStyle w:val="66"/>
              <w:adjustRightInd w:val="0"/>
              <w:snapToGrid w:val="0"/>
              <w:spacing w:after="0"/>
              <w:ind w:left="0" w:leftChars="0" w:firstLine="0" w:firstLineChars="0"/>
              <w:jc w:val="center"/>
              <w:rPr>
                <w:rStyle w:val="98"/>
                <w:rFonts w:hint="default" w:ascii="Times New Roman" w:hAnsi="Times New Roman" w:cs="Times New Roman"/>
                <w:color w:val="000000" w:themeColor="text1"/>
                <w:highlight w:val="none"/>
                <w:u w:val="single"/>
                <w14:textFill>
                  <w14:solidFill>
                    <w14:schemeClr w14:val="tx1"/>
                  </w14:solidFill>
                </w14:textFill>
              </w:rPr>
            </w:pPr>
            <w:r>
              <w:rPr>
                <w:rStyle w:val="98"/>
                <w:rFonts w:hint="default" w:ascii="Times New Roman" w:hAnsi="Times New Roman" w:cs="Times New Roman"/>
                <w:color w:val="000000" w:themeColor="text1"/>
                <w:highlight w:val="none"/>
                <w:u w:val="single"/>
                <w14:textFill>
                  <w14:solidFill>
                    <w14:schemeClr w14:val="tx1"/>
                  </w14:solidFill>
                </w14:textFill>
              </w:rPr>
              <w:t>图2-</w:t>
            </w:r>
            <w:r>
              <w:rPr>
                <w:rStyle w:val="98"/>
                <w:rFonts w:hint="default" w:ascii="Times New Roman" w:hAnsi="Times New Roman" w:cs="Times New Roman"/>
                <w:color w:val="000000" w:themeColor="text1"/>
                <w:highlight w:val="none"/>
                <w:u w:val="single"/>
                <w14:textFill>
                  <w14:solidFill>
                    <w14:schemeClr w14:val="tx1"/>
                  </w14:solidFill>
                </w14:textFill>
              </w:rPr>
              <w:t>5</w:t>
            </w:r>
            <w:r>
              <w:rPr>
                <w:rStyle w:val="98"/>
                <w:rFonts w:hint="default" w:ascii="Times New Roman" w:hAnsi="Times New Roman" w:cs="Times New Roman"/>
                <w:color w:val="000000" w:themeColor="text1"/>
                <w:highlight w:val="none"/>
                <w:u w:val="single"/>
                <w14:textFill>
                  <w14:solidFill>
                    <w14:schemeClr w14:val="tx1"/>
                  </w14:solidFill>
                </w14:textFill>
              </w:rPr>
              <w:t xml:space="preserve"> 项目</w:t>
            </w:r>
            <w:r>
              <w:rPr>
                <w:rStyle w:val="98"/>
                <w:rFonts w:hint="default" w:ascii="Times New Roman" w:hAnsi="Times New Roman" w:cs="Times New Roman"/>
                <w:color w:val="000000" w:themeColor="text1"/>
                <w:highlight w:val="none"/>
                <w:u w:val="single"/>
                <w14:textFill>
                  <w14:solidFill>
                    <w14:schemeClr w14:val="tx1"/>
                  </w14:solidFill>
                </w14:textFill>
              </w:rPr>
              <w:t>填充</w:t>
            </w:r>
            <w:r>
              <w:rPr>
                <w:rStyle w:val="98"/>
                <w:rFonts w:hint="default" w:ascii="Times New Roman" w:hAnsi="Times New Roman" w:cs="Times New Roman"/>
                <w:color w:val="000000" w:themeColor="text1"/>
                <w:highlight w:val="none"/>
                <w:u w:val="single"/>
                <w14:textFill>
                  <w14:solidFill>
                    <w14:schemeClr w14:val="tx1"/>
                  </w14:solidFill>
                </w14:textFill>
              </w:rPr>
              <w:t>生产工艺流程及产污环节分析图</w:t>
            </w:r>
          </w:p>
          <w:p w14:paraId="72A1F68B">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4"/>
                <w:highlight w:val="none"/>
                <w:u w:val="single"/>
                <w14:textFill>
                  <w14:solidFill>
                    <w14:schemeClr w14:val="tx1"/>
                  </w14:solidFill>
                </w14:textFill>
              </w:rPr>
              <w:t>工艺流程描述如下：</w:t>
            </w:r>
          </w:p>
          <w:p w14:paraId="4A7C298F">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①</w:t>
            </w:r>
            <w:r>
              <w:rPr>
                <w:rFonts w:hint="default" w:ascii="Times New Roman" w:hAnsi="Times New Roman" w:cs="Times New Roman"/>
                <w:color w:val="000000" w:themeColor="text1"/>
                <w:highlight w:val="none"/>
                <w:u w:val="single"/>
                <w:lang w:val="en-US" w:eastAsia="zh-CN"/>
                <w14:textFill>
                  <w14:solidFill>
                    <w14:schemeClr w14:val="tx1"/>
                  </w14:solidFill>
                </w14:textFill>
              </w:rPr>
              <w:t>物料装卸、投料</w:t>
            </w:r>
            <w:r>
              <w:rPr>
                <w:rFonts w:hint="default" w:ascii="Times New Roman" w:hAnsi="Times New Roman" w:cs="Times New Roman"/>
                <w:color w:val="000000" w:themeColor="text1"/>
                <w:highlight w:val="none"/>
                <w:u w:val="single"/>
                <w14:textFill>
                  <w14:solidFill>
                    <w14:schemeClr w14:val="tx1"/>
                  </w14:solidFill>
                </w14:textFill>
              </w:rPr>
              <w:t>：对壳体标记填充密度及填充物重量配比，对壳体外观目视确认有无变形等异常，根据准备填充的壳体找到对应的铸件填充块。</w:t>
            </w:r>
            <w:r>
              <w:rPr>
                <w:rFonts w:hint="default" w:ascii="Times New Roman" w:hAnsi="Times New Roman" w:cs="Times New Roman"/>
                <w:color w:val="000000" w:themeColor="text1"/>
                <w:sz w:val="24"/>
                <w:highlight w:val="none"/>
                <w:u w:val="single"/>
                <w14:textFill>
                  <w14:solidFill>
                    <w14:schemeClr w14:val="tx1"/>
                  </w14:solidFill>
                </w14:textFill>
              </w:rPr>
              <w:t>原料由供货商的货车运输至</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原料仓库</w:t>
            </w:r>
            <w:r>
              <w:rPr>
                <w:rFonts w:hint="default" w:ascii="Times New Roman" w:hAnsi="Times New Roman" w:cs="Times New Roman"/>
                <w:color w:val="000000" w:themeColor="text1"/>
                <w:sz w:val="24"/>
                <w:highlight w:val="none"/>
                <w:u w:val="single"/>
                <w14:textFill>
                  <w14:solidFill>
                    <w14:schemeClr w14:val="tx1"/>
                  </w14:solidFill>
                </w14:textFill>
              </w:rPr>
              <w:t>内</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暂存</w:t>
            </w:r>
            <w:r>
              <w:rPr>
                <w:rFonts w:hint="default" w:ascii="Times New Roman" w:hAnsi="Times New Roman" w:cs="Times New Roman"/>
                <w:color w:val="000000" w:themeColor="text1"/>
                <w:sz w:val="24"/>
                <w:highlight w:val="none"/>
                <w:u w:val="single"/>
                <w14:textFill>
                  <w14:solidFill>
                    <w14:schemeClr w14:val="tx1"/>
                  </w14:solidFill>
                </w14:textFill>
              </w:rPr>
              <w:t>，将仓内的物料分别送入相应的</w:t>
            </w:r>
            <w:r>
              <w:rPr>
                <w:rFonts w:hint="default" w:ascii="Times New Roman" w:hAnsi="Times New Roman" w:cs="Times New Roman"/>
                <w:color w:val="000000" w:themeColor="text1"/>
                <w:highlight w:val="none"/>
                <w:u w:val="single"/>
                <w14:textFill>
                  <w14:solidFill>
                    <w14:schemeClr w14:val="tx1"/>
                  </w14:solidFill>
                </w14:textFill>
              </w:rPr>
              <w:t>壳体</w:t>
            </w:r>
            <w:r>
              <w:rPr>
                <w:rFonts w:hint="default" w:ascii="Times New Roman" w:hAnsi="Times New Roman" w:cs="Times New Roman"/>
                <w:color w:val="000000" w:themeColor="text1"/>
                <w:sz w:val="24"/>
                <w:highlight w:val="none"/>
                <w:u w:val="single"/>
                <w14:textFill>
                  <w14:solidFill>
                    <w14:schemeClr w14:val="tx1"/>
                  </w14:solidFill>
                </w14:textFill>
              </w:rPr>
              <w:t>中。</w:t>
            </w:r>
          </w:p>
          <w:p w14:paraId="18531E8E">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②填充：</w:t>
            </w:r>
          </w:p>
          <w:p w14:paraId="47C7EBA0">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湿式填充：根据密度及标示各填充物重量添加相应填充物并称重记录；附加配重分两到三次填充振实，利用三维振动平台加振动棒对混合物进行充分的振动；对废钢填充的壳体，需根据壳体内部筋板隔断区域对称、均匀摆放废钢，已防止重心偏移；根据每次填充分析计算实时填充密度并指导操作者添加高密度填充物以达成设计重量；各项填充指标达标后用高压水枪冲洗壳体，去除壳体残留物。此环节会产生废水。</w:t>
            </w:r>
          </w:p>
          <w:p w14:paraId="5BA7423F">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干式填充：用磁力吊或者夹具将铸件填充块吊入壳体，将铁粉灌入铸件与壳体的间隙之间，吊至振动平台开启振动，让铁粉通过振动后流满所有缝隙。</w:t>
            </w:r>
          </w:p>
          <w:p w14:paraId="2E91355F">
            <w:pPr>
              <w:pStyle w:val="66"/>
              <w:adjustRightInd w:val="0"/>
              <w:snapToGrid w:val="0"/>
              <w:spacing w:after="0"/>
              <w:ind w:left="0" w:leftChars="0"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③</w:t>
            </w:r>
            <w:r>
              <w:rPr>
                <w:rFonts w:hint="default" w:ascii="Times New Roman" w:hAnsi="Times New Roman" w:cs="Times New Roman"/>
                <w:color w:val="000000" w:themeColor="text1"/>
                <w:highlight w:val="none"/>
                <w:u w:val="single"/>
                <w14:textFill>
                  <w14:solidFill>
                    <w14:schemeClr w14:val="tx1"/>
                  </w14:solidFill>
                </w14:textFill>
              </w:rPr>
              <w:t>盖板：围板漏水孔无水渍及表面固化后方可转序盖板。</w:t>
            </w:r>
          </w:p>
          <w:p w14:paraId="3AA56505">
            <w:pPr>
              <w:pStyle w:val="66"/>
              <w:adjustRightInd w:val="0"/>
              <w:snapToGrid w:val="0"/>
              <w:spacing w:after="0"/>
              <w:ind w:left="0" w:leftChars="0" w:firstLine="480"/>
              <w:rPr>
                <w:rFonts w:hint="default" w:ascii="Times New Roman" w:hAnsi="Times New Roman" w:eastAsia="宋体"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④</w:t>
            </w:r>
            <w:r>
              <w:rPr>
                <w:rFonts w:hint="default" w:ascii="Times New Roman" w:hAnsi="Times New Roman" w:cs="Times New Roman"/>
                <w:color w:val="000000" w:themeColor="text1"/>
                <w:highlight w:val="none"/>
                <w:u w:val="single"/>
                <w14:textFill>
                  <w14:solidFill>
                    <w14:schemeClr w14:val="tx1"/>
                  </w14:solidFill>
                </w14:textFill>
              </w:rPr>
              <w:t>称重：用吊秤称量已填充好的壳体，根据填充方案确认填充重量是否达标</w:t>
            </w:r>
            <w:r>
              <w:rPr>
                <w:rFonts w:hint="default" w:ascii="Times New Roman" w:hAnsi="Times New Roman" w:cs="Times New Roman"/>
                <w:color w:val="000000" w:themeColor="text1"/>
                <w:highlight w:val="none"/>
                <w:u w:val="single"/>
                <w:lang w:eastAsia="zh-CN"/>
                <w14:textFill>
                  <w14:solidFill>
                    <w14:schemeClr w14:val="tx1"/>
                  </w14:solidFill>
                </w14:textFill>
              </w:rPr>
              <w:t>。</w:t>
            </w:r>
          </w:p>
          <w:p w14:paraId="76A71BC9">
            <w:pPr>
              <w:tabs>
                <w:tab w:val="left" w:pos="7071"/>
              </w:tabs>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⑤</w:t>
            </w:r>
            <w:r>
              <w:rPr>
                <w:rFonts w:hint="default" w:ascii="Times New Roman" w:hAnsi="Times New Roman" w:cs="Times New Roman"/>
                <w:color w:val="000000" w:themeColor="text1"/>
                <w:sz w:val="24"/>
                <w:highlight w:val="none"/>
                <w:u w:val="single"/>
                <w14:textFill>
                  <w14:solidFill>
                    <w14:schemeClr w14:val="tx1"/>
                  </w14:solidFill>
                </w14:textFill>
              </w:rPr>
              <w:t>检验：在经过加工后进行检测。</w:t>
            </w:r>
          </w:p>
          <w:p w14:paraId="1B6CC11D">
            <w:pPr>
              <w:pStyle w:val="40"/>
              <w:spacing w:line="360" w:lineRule="auto"/>
              <w:ind w:firstLine="480" w:firstLineChars="20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⑥转运：将检验完毕后的填充体转运至下一工序。</w:t>
            </w:r>
          </w:p>
          <w:p w14:paraId="03E1EAA1">
            <w:pPr>
              <w:pStyle w:val="66"/>
              <w:adjustRightInd w:val="0"/>
              <w:snapToGrid w:val="0"/>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）喷漆生产工艺流程及产污环节</w:t>
            </w:r>
          </w:p>
          <w:p w14:paraId="0CF2D8AA">
            <w:pPr>
              <w:spacing w:line="360" w:lineRule="auto"/>
              <w:jc w:val="center"/>
              <w:rPr>
                <w:rStyle w:val="98"/>
                <w:rFonts w:hint="default" w:ascii="Times New Roman" w:hAnsi="Times New Roman" w:cs="Times New Roman"/>
                <w:color w:val="000000" w:themeColor="text1"/>
                <w:highlight w:val="none"/>
                <w14:textFill>
                  <w14:solidFill>
                    <w14:schemeClr w14:val="tx1"/>
                  </w14:solidFill>
                </w14:textFill>
              </w:rPr>
            </w:pPr>
            <w:r>
              <w:rPr>
                <w:rStyle w:val="98"/>
                <w:rFonts w:hint="default" w:ascii="Times New Roman" w:hAnsi="Times New Roman" w:cs="Times New Roman"/>
                <w:color w:val="000000" w:themeColor="text1"/>
                <w:highlight w:val="none"/>
                <w14:textFill>
                  <w14:solidFill>
                    <w14:schemeClr w14:val="tx1"/>
                  </w14:solidFill>
                </w14:textFill>
              </w:rPr>
              <w:object>
                <v:shape id="_x0000_i1030" o:spt="75" type="#_x0000_t75" style="height:173.7pt;width:422.1pt;" o:ole="t" filled="f" o:preferrelative="t" stroked="f" coordsize="21600,21600">
                  <v:path/>
                  <v:fill on="f" focussize="0,0"/>
                  <v:stroke on="f" joinstyle="miter"/>
                  <v:imagedata r:id="rId22" o:title=""/>
                  <o:lock v:ext="edit" aspectratio="f"/>
                  <w10:wrap type="none"/>
                  <w10:anchorlock/>
                </v:shape>
                <o:OLEObject Type="Embed" ProgID="Visio.Drawing.11" ShapeID="_x0000_i1030" DrawAspect="Content" ObjectID="_1468075730" r:id="rId21">
                  <o:LockedField>false</o:LockedField>
                </o:OLEObject>
              </w:object>
            </w:r>
            <w:r>
              <w:rPr>
                <w:rStyle w:val="98"/>
                <w:rFonts w:hint="default" w:ascii="Times New Roman" w:hAnsi="Times New Roman" w:cs="Times New Roman"/>
                <w:color w:val="000000" w:themeColor="text1"/>
                <w:highlight w:val="none"/>
                <w14:textFill>
                  <w14:solidFill>
                    <w14:schemeClr w14:val="tx1"/>
                  </w14:solidFill>
                </w14:textFill>
              </w:rPr>
              <w:t>图2-</w:t>
            </w:r>
            <w:r>
              <w:rPr>
                <w:rStyle w:val="98"/>
                <w:rFonts w:hint="default" w:ascii="Times New Roman" w:hAnsi="Times New Roman" w:cs="Times New Roman"/>
                <w:color w:val="000000" w:themeColor="text1"/>
                <w:highlight w:val="none"/>
                <w14:textFill>
                  <w14:solidFill>
                    <w14:schemeClr w14:val="tx1"/>
                  </w14:solidFill>
                </w14:textFill>
              </w:rPr>
              <w:t>6</w:t>
            </w:r>
            <w:r>
              <w:rPr>
                <w:rStyle w:val="98"/>
                <w:rFonts w:hint="default" w:ascii="Times New Roman" w:hAnsi="Times New Roman" w:cs="Times New Roman"/>
                <w:color w:val="000000" w:themeColor="text1"/>
                <w:highlight w:val="none"/>
                <w14:textFill>
                  <w14:solidFill>
                    <w14:schemeClr w14:val="tx1"/>
                  </w14:solidFill>
                </w14:textFill>
              </w:rPr>
              <w:t xml:space="preserve"> 项目喷漆生产工艺流程及产污环节分析图</w:t>
            </w:r>
          </w:p>
          <w:p w14:paraId="5B6EB1B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工艺流程描述如下：</w:t>
            </w:r>
          </w:p>
          <w:p w14:paraId="40A5CAD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①抛丸、吹灰</w:t>
            </w:r>
          </w:p>
          <w:p w14:paraId="3364A8BA">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抛丸工艺是一种除锈工艺，抛丸除锈是利用高速旋转的叶轮将钢丸抛向钢铁表面来达到除锈目的，是一种对钢材进行除锈的较为先进的机械处理方法，一般抛丸后要用气管吹灰，本项目所有工件共用一套抛丸工序。该工序会产生抛丸粉尘、金属碎屑和噪声。</w:t>
            </w:r>
          </w:p>
          <w:p w14:paraId="37A9A7A3">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②底漆喷涂（2遍）、面漆喷涂</w:t>
            </w:r>
          </w:p>
          <w:p w14:paraId="0290D74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底漆喷涂：车间底漆，又称保养底漆或预处理底漆，是钢板或型钢经抛丸预处理除锈后在流水线上喷涂的一层防锈漆。车间底漆的作用是对经过抛丸处理的钢材表面进行保护，防止钢材在加工期间生锈而带来的腐蚀损害，根据建设单位提供的资料，本项目产品需要喷涂2遍底漆，第2遍底漆主要为表面填平，以消除被涂物表面的洞眼和纹路等，从而制成平整的表面，使得涂饰面漆后得到平整，丰满的表面，提高整个漆膜的鲜映性和丰满度；少量工件喷涂底漆后需采用腻子粉进行点补，对点补区进行打磨；</w:t>
            </w:r>
          </w:p>
          <w:p w14:paraId="09A0A2EE">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b.面漆喷涂：在完成2遍底漆的喷涂之后就可以进行面漆喷涂。</w:t>
            </w:r>
          </w:p>
          <w:p w14:paraId="729744E6">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上述工序会产生喷漆VOCs、腻子打磨粉尘、废漆渣、废喷淋水。</w:t>
            </w:r>
          </w:p>
          <w:p w14:paraId="303B247B">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③底漆烘烤、面漆烘烤</w:t>
            </w:r>
          </w:p>
          <w:p w14:paraId="67F353D4">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底漆与面漆喷涂完成后均需进行烤漆，</w:t>
            </w:r>
            <w:r>
              <w:rPr>
                <w:rFonts w:hint="default" w:ascii="Times New Roman" w:hAnsi="Times New Roman" w:cs="Times New Roman"/>
                <w:color w:val="000000" w:themeColor="text1"/>
                <w:sz w:val="24"/>
                <w:highlight w:val="none"/>
                <w:u w:val="single"/>
                <w14:textFill>
                  <w14:solidFill>
                    <w14:schemeClr w14:val="tx1"/>
                  </w14:solidFill>
                </w14:textFill>
              </w:rPr>
              <w:t>项目烤漆房使用</w:t>
            </w:r>
            <w:r>
              <w:rPr>
                <w:rFonts w:hint="default" w:ascii="Times New Roman" w:hAnsi="Times New Roman" w:cs="Times New Roman"/>
                <w:color w:val="000000" w:themeColor="text1"/>
                <w:sz w:val="24"/>
                <w:highlight w:val="none"/>
                <w:u w:val="single"/>
                <w14:textFill>
                  <w14:solidFill>
                    <w14:schemeClr w14:val="tx1"/>
                  </w14:solidFill>
                </w14:textFill>
              </w:rPr>
              <w:t>电作为能源</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烤漆温度280-400℃。该工序会产生喷漆烘干VOCs和噪声。</w:t>
            </w:r>
          </w:p>
          <w:p w14:paraId="7CE3E15A">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④检验入库：工件喷漆完成后进行外观性与漆面质量检验。该工序会产生残次品。</w:t>
            </w:r>
          </w:p>
          <w:p w14:paraId="4D4924C4">
            <w:pPr>
              <w:pStyle w:val="66"/>
              <w:adjustRightInd w:val="0"/>
              <w:snapToGrid w:val="0"/>
              <w:spacing w:after="0"/>
              <w:ind w:left="0" w:leftChars="0"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3、运营期产排污环节见下表。</w:t>
            </w:r>
          </w:p>
          <w:p w14:paraId="0A1462C6">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根据前述工艺流程分析，本项目运营期产排污环节如下：</w:t>
            </w:r>
          </w:p>
          <w:p w14:paraId="4B1E0B2A">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（1）废气主要为：下料废气、铆焊工艺废气、抛丸废气、喷漆废气、腻子打磨废气。</w:t>
            </w:r>
          </w:p>
          <w:p w14:paraId="5A9F1DCD">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（2）噪声主要为：厂区内各设备发出的噪声。</w:t>
            </w:r>
          </w:p>
          <w:p w14:paraId="25472F9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（3）固体废物主要为：一般固废：金属碎屑、焊渣、抛丸布袋粉尘、腻子粉布袋粉尘等；危险固废：废油漆渣、废油漆桶、废稀释剂桶、废固化剂桶、废活性炭、废机油及油桶、废润滑油及油桶等。</w:t>
            </w:r>
          </w:p>
          <w:p w14:paraId="36FA9AB0">
            <w:pPr>
              <w:spacing w:line="360" w:lineRule="auto"/>
              <w:ind w:firstLine="482"/>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本项目运营期产排污环节汇总见表2-</w:t>
            </w:r>
            <w:r>
              <w:rPr>
                <w:rFonts w:hint="default" w:ascii="Times New Roman" w:hAnsi="Times New Roman" w:cs="Times New Roman"/>
                <w:color w:val="000000" w:themeColor="text1"/>
                <w:sz w:val="24"/>
                <w:highlight w:val="none"/>
                <w14:textFill>
                  <w14:solidFill>
                    <w14:schemeClr w14:val="tx1"/>
                  </w14:solidFill>
                </w14:textFill>
              </w:rPr>
              <w:t>1</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w:t>
            </w:r>
          </w:p>
          <w:p w14:paraId="470D270E">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表2-14  项目产排污环节一览表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969"/>
              <w:gridCol w:w="1874"/>
              <w:gridCol w:w="3859"/>
            </w:tblGrid>
            <w:tr w14:paraId="47CB2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402" w:type="pct"/>
                  <w:vAlign w:val="center"/>
                </w:tcPr>
                <w:p w14:paraId="5EA02B1C">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污染因素</w:t>
                  </w:r>
                </w:p>
              </w:tc>
              <w:tc>
                <w:tcPr>
                  <w:tcW w:w="1175" w:type="pct"/>
                  <w:vAlign w:val="center"/>
                </w:tcPr>
                <w:p w14:paraId="41A2C80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名称</w:t>
                  </w:r>
                </w:p>
              </w:tc>
              <w:tc>
                <w:tcPr>
                  <w:tcW w:w="1118" w:type="pct"/>
                  <w:vAlign w:val="center"/>
                </w:tcPr>
                <w:p w14:paraId="1CDFD1B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污染因子</w:t>
                  </w:r>
                </w:p>
              </w:tc>
              <w:tc>
                <w:tcPr>
                  <w:tcW w:w="2303" w:type="pct"/>
                  <w:vAlign w:val="center"/>
                </w:tcPr>
                <w:p w14:paraId="517D1CEA">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去向（拟采取的污染防治措施）</w:t>
                  </w:r>
                </w:p>
              </w:tc>
            </w:tr>
            <w:tr w14:paraId="1B1D3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02" w:type="pct"/>
                  <w:vMerge w:val="restart"/>
                  <w:vAlign w:val="center"/>
                </w:tcPr>
                <w:p w14:paraId="57F5B4F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废气</w:t>
                  </w:r>
                </w:p>
              </w:tc>
              <w:tc>
                <w:tcPr>
                  <w:tcW w:w="1175" w:type="pct"/>
                  <w:vAlign w:val="center"/>
                </w:tcPr>
                <w:p w14:paraId="082B9F94">
                  <w:pPr>
                    <w:pStyle w:val="58"/>
                    <w:spacing w:before="24" w:after="24"/>
                    <w:rPr>
                      <w:rFonts w:hint="default" w:ascii="Times New Roman" w:hAnsi="Times New Roman" w:eastAsia="宋体" w:cs="Times New Roman"/>
                      <w:color w:val="000000" w:themeColor="text1"/>
                      <w:kern w:val="2"/>
                      <w:highlight w:val="none"/>
                      <w:u w:val="single"/>
                      <w:lang w:val="en-US" w:eastAsia="zh-CN"/>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填充</w:t>
                  </w:r>
                  <w:r>
                    <w:rPr>
                      <w:rFonts w:hint="default" w:ascii="Times New Roman" w:hAnsi="Times New Roman" w:cs="Times New Roman"/>
                      <w:color w:val="000000" w:themeColor="text1"/>
                      <w:kern w:val="2"/>
                      <w:highlight w:val="none"/>
                      <w:u w:val="single"/>
                      <w:lang w:val="en-US" w:eastAsia="zh-CN"/>
                      <w14:textFill>
                        <w14:solidFill>
                          <w14:schemeClr w14:val="tx1"/>
                        </w14:solidFill>
                      </w14:textFill>
                    </w:rPr>
                    <w:t>工序堆场扬尘</w:t>
                  </w:r>
                </w:p>
              </w:tc>
              <w:tc>
                <w:tcPr>
                  <w:tcW w:w="1118" w:type="pct"/>
                  <w:vAlign w:val="center"/>
                </w:tcPr>
                <w:p w14:paraId="0C95A751">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颗粒物</w:t>
                  </w:r>
                </w:p>
              </w:tc>
              <w:tc>
                <w:tcPr>
                  <w:tcW w:w="2303" w:type="pct"/>
                  <w:vAlign w:val="center"/>
                </w:tcPr>
                <w:p w14:paraId="64408AE4">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车间通风、洒水抑尘</w:t>
                  </w:r>
                </w:p>
              </w:tc>
            </w:tr>
            <w:tr w14:paraId="2312C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02" w:type="pct"/>
                  <w:vMerge w:val="continue"/>
                  <w:vAlign w:val="center"/>
                </w:tcPr>
                <w:p w14:paraId="5301D63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51488E4F">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填充</w:t>
                  </w:r>
                  <w:r>
                    <w:rPr>
                      <w:rFonts w:hint="default" w:ascii="Times New Roman" w:hAnsi="Times New Roman" w:cs="Times New Roman"/>
                      <w:color w:val="000000" w:themeColor="text1"/>
                      <w:kern w:val="2"/>
                      <w:highlight w:val="none"/>
                      <w:u w:val="single"/>
                      <w:lang w:val="en-US" w:eastAsia="zh-CN"/>
                      <w14:textFill>
                        <w14:solidFill>
                          <w14:schemeClr w14:val="tx1"/>
                        </w14:solidFill>
                      </w14:textFill>
                    </w:rPr>
                    <w:t>工序装卸扬尘</w:t>
                  </w:r>
                </w:p>
              </w:tc>
              <w:tc>
                <w:tcPr>
                  <w:tcW w:w="1118" w:type="pct"/>
                  <w:vAlign w:val="center"/>
                </w:tcPr>
                <w:p w14:paraId="31F535D4">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颗粒物</w:t>
                  </w:r>
                </w:p>
              </w:tc>
              <w:tc>
                <w:tcPr>
                  <w:tcW w:w="2303" w:type="pct"/>
                  <w:vAlign w:val="center"/>
                </w:tcPr>
                <w:p w14:paraId="068E5B5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洒水抑尘</w:t>
                  </w:r>
                </w:p>
              </w:tc>
            </w:tr>
            <w:tr w14:paraId="4399C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02" w:type="pct"/>
                  <w:vMerge w:val="continue"/>
                  <w:vAlign w:val="center"/>
                </w:tcPr>
                <w:p w14:paraId="5CAC64A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5A160B0C">
                  <w:pPr>
                    <w:pStyle w:val="58"/>
                    <w:spacing w:before="24" w:after="24"/>
                    <w:rPr>
                      <w:rFonts w:hint="default" w:ascii="Times New Roman" w:hAnsi="Times New Roman" w:cs="Times New Roman"/>
                      <w:color w:val="000000" w:themeColor="text1"/>
                      <w:kern w:val="2"/>
                      <w:highlight w:val="none"/>
                      <w:u w:val="single"/>
                      <w:lang w:val="en-US"/>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填充</w:t>
                  </w:r>
                  <w:r>
                    <w:rPr>
                      <w:rFonts w:hint="default" w:ascii="Times New Roman" w:hAnsi="Times New Roman" w:cs="Times New Roman"/>
                      <w:color w:val="000000" w:themeColor="text1"/>
                      <w:kern w:val="2"/>
                      <w:highlight w:val="none"/>
                      <w:u w:val="single"/>
                      <w:lang w:val="en-US" w:eastAsia="zh-CN"/>
                      <w14:textFill>
                        <w14:solidFill>
                          <w14:schemeClr w14:val="tx1"/>
                        </w14:solidFill>
                      </w14:textFill>
                    </w:rPr>
                    <w:t>工序输送、搅拌粉尘</w:t>
                  </w:r>
                </w:p>
              </w:tc>
              <w:tc>
                <w:tcPr>
                  <w:tcW w:w="1118" w:type="pct"/>
                  <w:vAlign w:val="center"/>
                </w:tcPr>
                <w:p w14:paraId="357C845C">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颗粒物</w:t>
                  </w:r>
                </w:p>
              </w:tc>
              <w:tc>
                <w:tcPr>
                  <w:tcW w:w="2303" w:type="pct"/>
                  <w:vAlign w:val="center"/>
                </w:tcPr>
                <w:p w14:paraId="3FA0E5B6">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洒水抑尘</w:t>
                  </w:r>
                </w:p>
              </w:tc>
            </w:tr>
            <w:tr w14:paraId="2268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2" w:type="pct"/>
                  <w:vMerge w:val="continue"/>
                  <w:vAlign w:val="center"/>
                </w:tcPr>
                <w:p w14:paraId="7B4E628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2216D57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下料粉尘</w:t>
                  </w:r>
                </w:p>
              </w:tc>
              <w:tc>
                <w:tcPr>
                  <w:tcW w:w="1118" w:type="pct"/>
                  <w:vAlign w:val="center"/>
                </w:tcPr>
                <w:p w14:paraId="6107419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w:t>
                  </w:r>
                </w:p>
              </w:tc>
              <w:tc>
                <w:tcPr>
                  <w:tcW w:w="2303" w:type="pct"/>
                  <w:vAlign w:val="center"/>
                </w:tcPr>
                <w:p w14:paraId="6E6B38A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自然沉降</w:t>
                  </w:r>
                </w:p>
              </w:tc>
            </w:tr>
            <w:tr w14:paraId="29712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1D2A2D3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7614F64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焊接烟尘</w:t>
                  </w:r>
                </w:p>
              </w:tc>
              <w:tc>
                <w:tcPr>
                  <w:tcW w:w="1118" w:type="pct"/>
                  <w:vAlign w:val="center"/>
                </w:tcPr>
                <w:p w14:paraId="1D3A2D6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w:t>
                  </w:r>
                </w:p>
              </w:tc>
              <w:tc>
                <w:tcPr>
                  <w:tcW w:w="2303" w:type="pct"/>
                  <w:vAlign w:val="center"/>
                </w:tcPr>
                <w:p w14:paraId="5BECE09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经移动式焊接烟尘净化器后无组织排放</w:t>
                  </w:r>
                </w:p>
              </w:tc>
            </w:tr>
            <w:tr w14:paraId="517F0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7480D1B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0CFA9F9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等离子切割下料废气</w:t>
                  </w:r>
                </w:p>
              </w:tc>
              <w:tc>
                <w:tcPr>
                  <w:tcW w:w="1118" w:type="pct"/>
                  <w:vAlign w:val="center"/>
                </w:tcPr>
                <w:p w14:paraId="05C9479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w:t>
                  </w:r>
                </w:p>
              </w:tc>
              <w:tc>
                <w:tcPr>
                  <w:tcW w:w="2303" w:type="pct"/>
                  <w:vAlign w:val="center"/>
                </w:tcPr>
                <w:p w14:paraId="15CC164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布袋除尘器+15m高排气筒</w:t>
                  </w:r>
                </w:p>
              </w:tc>
            </w:tr>
            <w:tr w14:paraId="7C971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105DDAD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7BA157B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抛丸粉尘</w:t>
                  </w:r>
                </w:p>
              </w:tc>
              <w:tc>
                <w:tcPr>
                  <w:tcW w:w="1118" w:type="pct"/>
                  <w:vAlign w:val="center"/>
                </w:tcPr>
                <w:p w14:paraId="77AF4A7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w:t>
                  </w:r>
                </w:p>
              </w:tc>
              <w:tc>
                <w:tcPr>
                  <w:tcW w:w="2303" w:type="pct"/>
                  <w:vAlign w:val="center"/>
                </w:tcPr>
                <w:p w14:paraId="1AC7C32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布袋除尘器+15m高排气筒</w:t>
                  </w:r>
                </w:p>
              </w:tc>
            </w:tr>
            <w:tr w14:paraId="11E7C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4B00F25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7E5D9DC9">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喷漆+烘干废气</w:t>
                  </w:r>
                </w:p>
              </w:tc>
              <w:tc>
                <w:tcPr>
                  <w:tcW w:w="1118" w:type="pct"/>
                  <w:vAlign w:val="center"/>
                </w:tcPr>
                <w:p w14:paraId="687B325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颗粒物、挥发性有机物（包括VOCs、二甲苯等）</w:t>
                  </w:r>
                </w:p>
              </w:tc>
              <w:tc>
                <w:tcPr>
                  <w:tcW w:w="2303" w:type="pct"/>
                  <w:vAlign w:val="center"/>
                </w:tcPr>
                <w:p w14:paraId="5946F31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密闭负压收集+水喷淋+干式过滤+活性炭吸附/脱附+催化燃烧+15m高排气筒</w:t>
                  </w:r>
                </w:p>
              </w:tc>
            </w:tr>
            <w:tr w14:paraId="3664A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04C7ABD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7B19477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腻子打磨粉尘</w:t>
                  </w:r>
                </w:p>
              </w:tc>
              <w:tc>
                <w:tcPr>
                  <w:tcW w:w="1118" w:type="pct"/>
                  <w:vAlign w:val="center"/>
                </w:tcPr>
                <w:p w14:paraId="13D704E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颗粒物</w:t>
                  </w:r>
                </w:p>
              </w:tc>
              <w:tc>
                <w:tcPr>
                  <w:tcW w:w="2303" w:type="pct"/>
                  <w:vAlign w:val="center"/>
                </w:tcPr>
                <w:p w14:paraId="3AE3208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布袋除尘器</w:t>
                  </w:r>
                </w:p>
              </w:tc>
            </w:tr>
            <w:tr w14:paraId="4B990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4DA31AB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0544C07E">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调漆废气</w:t>
                  </w:r>
                </w:p>
              </w:tc>
              <w:tc>
                <w:tcPr>
                  <w:tcW w:w="1118" w:type="pct"/>
                  <w:vAlign w:val="center"/>
                </w:tcPr>
                <w:p w14:paraId="3999455D">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挥发性有机物（包括VOCs、二甲苯等）</w:t>
                  </w:r>
                </w:p>
              </w:tc>
              <w:tc>
                <w:tcPr>
                  <w:tcW w:w="2303" w:type="pct"/>
                  <w:vAlign w:val="center"/>
                </w:tcPr>
                <w:p w14:paraId="4806E557">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密闭操作</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u w:val="single"/>
                      <w14:textFill>
                        <w14:solidFill>
                          <w14:schemeClr w14:val="tx1"/>
                        </w14:solidFill>
                      </w14:textFill>
                    </w:rPr>
                    <w:t>加强车间通风</w:t>
                  </w:r>
                </w:p>
              </w:tc>
            </w:tr>
            <w:tr w14:paraId="1BD7B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49537AD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Align w:val="center"/>
                </w:tcPr>
                <w:p w14:paraId="229D4DB9">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危废暂存间有机废气</w:t>
                  </w:r>
                </w:p>
              </w:tc>
              <w:tc>
                <w:tcPr>
                  <w:tcW w:w="1118" w:type="pct"/>
                  <w:vAlign w:val="center"/>
                </w:tcPr>
                <w:p w14:paraId="07BB7918">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挥发性有机物（包括VOCs、二甲苯等）</w:t>
                  </w:r>
                </w:p>
              </w:tc>
              <w:tc>
                <w:tcPr>
                  <w:tcW w:w="2303" w:type="pct"/>
                  <w:vAlign w:val="center"/>
                </w:tcPr>
                <w:p w14:paraId="3E213AC0">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及时清运、</w:t>
                  </w:r>
                  <w:r>
                    <w:rPr>
                      <w:rFonts w:hint="default" w:ascii="Times New Roman" w:hAnsi="Times New Roman" w:cs="Times New Roman"/>
                      <w:color w:val="000000" w:themeColor="text1"/>
                      <w:szCs w:val="21"/>
                      <w:highlight w:val="none"/>
                      <w:u w:val="single"/>
                      <w14:textFill>
                        <w14:solidFill>
                          <w14:schemeClr w14:val="tx1"/>
                        </w14:solidFill>
                      </w14:textFill>
                    </w:rPr>
                    <w:t>加强车间通风</w:t>
                  </w:r>
                </w:p>
              </w:tc>
            </w:tr>
            <w:tr w14:paraId="200C8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Align w:val="center"/>
                </w:tcPr>
                <w:p w14:paraId="3DB91489">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废水</w:t>
                  </w:r>
                </w:p>
              </w:tc>
              <w:tc>
                <w:tcPr>
                  <w:tcW w:w="1175" w:type="pct"/>
                  <w:vAlign w:val="center"/>
                </w:tcPr>
                <w:p w14:paraId="0055A025">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搅拌机清洗、作业区地面清洗</w:t>
                  </w:r>
                </w:p>
              </w:tc>
              <w:tc>
                <w:tcPr>
                  <w:tcW w:w="1118" w:type="pct"/>
                  <w:vAlign w:val="center"/>
                </w:tcPr>
                <w:p w14:paraId="6FED4CC8">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SS</w:t>
                  </w:r>
                </w:p>
              </w:tc>
              <w:tc>
                <w:tcPr>
                  <w:tcW w:w="2303" w:type="pct"/>
                  <w:vAlign w:val="center"/>
                </w:tcPr>
                <w:p w14:paraId="7DA78E56">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废水收集沉淀池</w:t>
                  </w:r>
                </w:p>
              </w:tc>
            </w:tr>
            <w:tr w14:paraId="3FB50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restart"/>
                  <w:vAlign w:val="center"/>
                </w:tcPr>
                <w:p w14:paraId="1BACC45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固废</w:t>
                  </w:r>
                </w:p>
              </w:tc>
              <w:tc>
                <w:tcPr>
                  <w:tcW w:w="1175" w:type="pct"/>
                  <w:vMerge w:val="restart"/>
                  <w:vAlign w:val="center"/>
                </w:tcPr>
                <w:p w14:paraId="4DF60D2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一般固废</w:t>
                  </w:r>
                </w:p>
              </w:tc>
              <w:tc>
                <w:tcPr>
                  <w:tcW w:w="1118" w:type="pct"/>
                  <w:vAlign w:val="center"/>
                </w:tcPr>
                <w:p w14:paraId="7362BA06">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金属碎屑</w:t>
                  </w:r>
                </w:p>
              </w:tc>
              <w:tc>
                <w:tcPr>
                  <w:tcW w:w="2303" w:type="pct"/>
                  <w:vMerge w:val="restart"/>
                  <w:vAlign w:val="center"/>
                </w:tcPr>
                <w:p w14:paraId="2D876ED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外售综合利用</w:t>
                  </w:r>
                </w:p>
              </w:tc>
            </w:tr>
            <w:tr w14:paraId="437C1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1F41E3B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3DC95BC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70D22CD7">
                  <w:pPr>
                    <w:pStyle w:val="58"/>
                    <w:spacing w:before="24" w:after="24"/>
                    <w:ind w:left="62"/>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焊渣</w:t>
                  </w:r>
                </w:p>
              </w:tc>
              <w:tc>
                <w:tcPr>
                  <w:tcW w:w="2303" w:type="pct"/>
                  <w:vMerge w:val="continue"/>
                  <w:vAlign w:val="center"/>
                </w:tcPr>
                <w:p w14:paraId="4A0F2E9D">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p>
              </w:tc>
            </w:tr>
            <w:tr w14:paraId="21178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0A6F621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6E12939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59B62C5A">
                  <w:pPr>
                    <w:pStyle w:val="58"/>
                    <w:spacing w:before="24" w:after="24"/>
                    <w:ind w:left="62"/>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抛丸布袋粉尘</w:t>
                  </w:r>
                </w:p>
              </w:tc>
              <w:tc>
                <w:tcPr>
                  <w:tcW w:w="2303" w:type="pct"/>
                  <w:vMerge w:val="continue"/>
                  <w:vAlign w:val="center"/>
                </w:tcPr>
                <w:p w14:paraId="3CD0609F">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p>
              </w:tc>
            </w:tr>
            <w:tr w14:paraId="4FA48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1F4142E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25AFC66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635AF8EA">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打磨布袋粉尘</w:t>
                  </w:r>
                </w:p>
              </w:tc>
              <w:tc>
                <w:tcPr>
                  <w:tcW w:w="2303" w:type="pct"/>
                  <w:vAlign w:val="center"/>
                </w:tcPr>
                <w:p w14:paraId="340C1C40">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环卫部门清运</w:t>
                  </w:r>
                </w:p>
              </w:tc>
            </w:tr>
            <w:tr w14:paraId="54CD7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7582372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1F8C069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59E5230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废包材</w:t>
                  </w:r>
                </w:p>
              </w:tc>
              <w:tc>
                <w:tcPr>
                  <w:tcW w:w="2303" w:type="pct"/>
                  <w:vAlign w:val="center"/>
                </w:tcPr>
                <w:p w14:paraId="467D6D0E">
                  <w:pPr>
                    <w:pStyle w:val="30"/>
                    <w:adjustRightInd w:val="0"/>
                    <w:snapToGrid w:val="0"/>
                    <w:ind w:left="62"/>
                    <w:jc w:val="center"/>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lang w:bidi="ar"/>
                      <w14:textFill>
                        <w14:solidFill>
                          <w14:schemeClr w14:val="tx1"/>
                        </w14:solidFill>
                      </w14:textFill>
                    </w:rPr>
                    <w:t>外售物资回收公司</w:t>
                  </w:r>
                </w:p>
              </w:tc>
            </w:tr>
            <w:tr w14:paraId="5E98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6A5BAD5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5A15CBB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113598B5">
                  <w:pPr>
                    <w:pStyle w:val="58"/>
                    <w:spacing w:before="24" w:after="24"/>
                    <w:ind w:left="62"/>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废砂纸</w:t>
                  </w:r>
                </w:p>
              </w:tc>
              <w:tc>
                <w:tcPr>
                  <w:tcW w:w="2303" w:type="pct"/>
                  <w:vAlign w:val="center"/>
                </w:tcPr>
                <w:p w14:paraId="50300E14">
                  <w:pPr>
                    <w:pStyle w:val="30"/>
                    <w:adjustRightInd w:val="0"/>
                    <w:snapToGrid w:val="0"/>
                    <w:ind w:left="62"/>
                    <w:jc w:val="center"/>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lang w:bidi="ar"/>
                      <w14:textFill>
                        <w14:solidFill>
                          <w14:schemeClr w14:val="tx1"/>
                        </w14:solidFill>
                      </w14:textFill>
                    </w:rPr>
                    <w:t>环卫部门清运</w:t>
                  </w:r>
                </w:p>
              </w:tc>
            </w:tr>
            <w:tr w14:paraId="28627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2A50A50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72D8737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74D22EE2">
                  <w:pPr>
                    <w:pStyle w:val="58"/>
                    <w:spacing w:before="24" w:after="24"/>
                    <w:ind w:left="62"/>
                    <w:rPr>
                      <w:rFonts w:hint="default" w:ascii="Times New Roman" w:hAnsi="Times New Roman" w:cs="Times New Roman" w:eastAsiaTheme="minorEastAsia"/>
                      <w:color w:val="000000" w:themeColor="text1"/>
                      <w:kern w:val="2"/>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u w:val="single"/>
                      <w14:textFill>
                        <w14:solidFill>
                          <w14:schemeClr w14:val="tx1"/>
                        </w14:solidFill>
                      </w14:textFill>
                    </w:rPr>
                    <w:t>沉淀池沉渣</w:t>
                  </w:r>
                </w:p>
              </w:tc>
              <w:tc>
                <w:tcPr>
                  <w:tcW w:w="2303" w:type="pct"/>
                  <w:vAlign w:val="center"/>
                </w:tcPr>
                <w:p w14:paraId="3E5D9D25">
                  <w:pPr>
                    <w:pStyle w:val="30"/>
                    <w:adjustRightInd w:val="0"/>
                    <w:snapToGrid w:val="0"/>
                    <w:ind w:left="62"/>
                    <w:jc w:val="center"/>
                    <w:rPr>
                      <w:rFonts w:hint="default" w:ascii="Times New Roman" w:hAnsi="Times New Roman" w:cs="Times New Roman" w:eastAsiaTheme="minorEastAsia"/>
                      <w:color w:val="000000" w:themeColor="text1"/>
                      <w:kern w:val="2"/>
                      <w:sz w:val="21"/>
                      <w:szCs w:val="21"/>
                      <w:highlight w:val="none"/>
                      <w:u w:val="single"/>
                      <w:lang w:bidi="ar"/>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u w:val="single"/>
                      <w:lang w:bidi="ar"/>
                      <w14:textFill>
                        <w14:solidFill>
                          <w14:schemeClr w14:val="tx1"/>
                        </w14:solidFill>
                      </w14:textFill>
                    </w:rPr>
                    <w:t>回用于湿式填充工序</w:t>
                  </w:r>
                </w:p>
              </w:tc>
            </w:tr>
            <w:tr w14:paraId="03F2C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6475431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restart"/>
                  <w:vAlign w:val="center"/>
                </w:tcPr>
                <w:p w14:paraId="019B72F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危险废物</w:t>
                  </w:r>
                </w:p>
              </w:tc>
              <w:tc>
                <w:tcPr>
                  <w:tcW w:w="1118" w:type="pct"/>
                  <w:vAlign w:val="center"/>
                </w:tcPr>
                <w:p w14:paraId="43955A1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漆渣、废活性炭、废油性油漆桶、废稀释剂桶、废固化剂桶、废机油、废润滑油及油桶、含油废劳保用品、废喷枪清洗剂</w:t>
                  </w:r>
                </w:p>
              </w:tc>
              <w:tc>
                <w:tcPr>
                  <w:tcW w:w="2303" w:type="pct"/>
                  <w:vAlign w:val="center"/>
                </w:tcPr>
                <w:p w14:paraId="53AF378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暂存于危废暂存间，定期委托有资质单位处理</w:t>
                  </w:r>
                </w:p>
              </w:tc>
            </w:tr>
            <w:tr w14:paraId="086C7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Merge w:val="continue"/>
                  <w:vAlign w:val="center"/>
                </w:tcPr>
                <w:p w14:paraId="1367AB1A">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75" w:type="pct"/>
                  <w:vMerge w:val="continue"/>
                  <w:vAlign w:val="center"/>
                </w:tcPr>
                <w:p w14:paraId="0B1BBBD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p>
              </w:tc>
              <w:tc>
                <w:tcPr>
                  <w:tcW w:w="1118" w:type="pct"/>
                  <w:vAlign w:val="center"/>
                </w:tcPr>
                <w:p w14:paraId="420123AE">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漆雾吸收废水</w:t>
                  </w:r>
                </w:p>
              </w:tc>
              <w:tc>
                <w:tcPr>
                  <w:tcW w:w="2303" w:type="pct"/>
                  <w:vAlign w:val="center"/>
                </w:tcPr>
                <w:p w14:paraId="40C2B37C">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更换时由有资质的单位直接罐车托运处置</w:t>
                  </w:r>
                </w:p>
              </w:tc>
            </w:tr>
            <w:tr w14:paraId="45933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vAlign w:val="center"/>
                </w:tcPr>
                <w:p w14:paraId="4521298F">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噪声</w:t>
                  </w:r>
                </w:p>
              </w:tc>
              <w:tc>
                <w:tcPr>
                  <w:tcW w:w="1175" w:type="pct"/>
                  <w:vAlign w:val="center"/>
                </w:tcPr>
                <w:p w14:paraId="244421A0">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生产设备噪声</w:t>
                  </w:r>
                </w:p>
              </w:tc>
              <w:tc>
                <w:tcPr>
                  <w:tcW w:w="1118" w:type="pct"/>
                  <w:vAlign w:val="center"/>
                </w:tcPr>
                <w:p w14:paraId="64CAC65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L</w:t>
                  </w:r>
                  <w:r>
                    <w:rPr>
                      <w:rFonts w:hint="default" w:ascii="Times New Roman" w:hAnsi="Times New Roman" w:cs="Times New Roman"/>
                      <w:color w:val="000000" w:themeColor="text1"/>
                      <w:kern w:val="2"/>
                      <w:highlight w:val="none"/>
                      <w:vertAlign w:val="subscript"/>
                      <w14:textFill>
                        <w14:solidFill>
                          <w14:schemeClr w14:val="tx1"/>
                        </w14:solidFill>
                      </w14:textFill>
                    </w:rPr>
                    <w:t>eq</w:t>
                  </w:r>
                  <w:r>
                    <w:rPr>
                      <w:rFonts w:hint="default" w:ascii="Times New Roman" w:hAnsi="Times New Roman" w:cs="Times New Roman"/>
                      <w:color w:val="000000" w:themeColor="text1"/>
                      <w:kern w:val="2"/>
                      <w:highlight w:val="none"/>
                      <w14:textFill>
                        <w14:solidFill>
                          <w14:schemeClr w14:val="tx1"/>
                        </w14:solidFill>
                      </w14:textFill>
                    </w:rPr>
                    <w:t>（A）</w:t>
                  </w:r>
                </w:p>
              </w:tc>
              <w:tc>
                <w:tcPr>
                  <w:tcW w:w="2303" w:type="pct"/>
                  <w:vAlign w:val="center"/>
                </w:tcPr>
                <w:p w14:paraId="522737C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选用低噪声设备、合理布局、减震、隔声等</w:t>
                  </w:r>
                </w:p>
              </w:tc>
            </w:tr>
          </w:tbl>
          <w:p w14:paraId="3CA4CBA2">
            <w:pPr>
              <w:pStyle w:val="40"/>
              <w:tabs>
                <w:tab w:val="left" w:pos="1021"/>
              </w:tabs>
              <w:spacing w:line="360" w:lineRule="auto"/>
              <w:ind w:firstLine="360" w:firstLineChars="150"/>
              <w:rPr>
                <w:rFonts w:hint="default" w:ascii="Times New Roman" w:hAnsi="Times New Roman" w:cs="Times New Roman"/>
                <w:color w:val="000000" w:themeColor="text1"/>
                <w:highlight w:val="none"/>
                <w14:textFill>
                  <w14:solidFill>
                    <w14:schemeClr w14:val="tx1"/>
                  </w14:solidFill>
                </w14:textFill>
              </w:rPr>
            </w:pPr>
          </w:p>
        </w:tc>
      </w:tr>
      <w:tr w14:paraId="4B4D1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51" w:hRule="atLeast"/>
          <w:jc w:val="center"/>
        </w:trPr>
        <w:tc>
          <w:tcPr>
            <w:tcW w:w="827" w:type="dxa"/>
            <w:vAlign w:val="center"/>
          </w:tcPr>
          <w:p w14:paraId="34BDB0F6">
            <w:pPr>
              <w:pStyle w:val="30"/>
              <w:adjustRightInd w:val="0"/>
              <w:snapToGrid w:val="0"/>
              <w:spacing w:before="0" w:beforeAutospacing="0" w:after="0" w:afterAutospacing="0"/>
              <w:jc w:val="center"/>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kern w:val="2"/>
                <w:szCs w:val="24"/>
                <w:highlight w:val="none"/>
                <w14:textFill>
                  <w14:solidFill>
                    <w14:schemeClr w14:val="tx1"/>
                  </w14:solidFill>
                </w14:textFill>
              </w:rPr>
              <w:t>与项目有关的原有环境污染问题</w:t>
            </w:r>
          </w:p>
        </w:tc>
        <w:tc>
          <w:tcPr>
            <w:tcW w:w="8092" w:type="dxa"/>
          </w:tcPr>
          <w:p w14:paraId="6C3A8A6E">
            <w:pPr>
              <w:pStyle w:val="19"/>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一、原有工程回顾</w:t>
            </w:r>
          </w:p>
          <w:p w14:paraId="1CDD9F97">
            <w:pPr>
              <w:pStyle w:val="19"/>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（1）原有工程环评和验收环保手续</w:t>
            </w:r>
          </w:p>
          <w:p w14:paraId="7D40209E">
            <w:pPr>
              <w:pStyle w:val="19"/>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衡阳市朝阳重机有限公司于2019 年 3 月委托湖南绿鸿环境科技有限责任公司编制《高效节能制砂、制石成套系统及重装设备建设项目环境影响评价报告表》</w:t>
            </w:r>
            <w:r>
              <w:rPr>
                <w:rFonts w:hint="default" w:ascii="Times New Roman" w:hAnsi="Times New Roman" w:cs="Times New Roman"/>
                <w:color w:val="000000" w:themeColor="text1"/>
                <w:highlight w:val="none"/>
                <w14:textFill>
                  <w14:solidFill>
                    <w14:schemeClr w14:val="tx1"/>
                  </w14:solidFill>
                </w14:textFill>
              </w:rPr>
              <w:t>，该项目于</w:t>
            </w:r>
            <w:r>
              <w:rPr>
                <w:rFonts w:hint="default" w:ascii="Times New Roman" w:hAnsi="Times New Roman" w:cs="Times New Roman"/>
                <w:color w:val="000000" w:themeColor="text1"/>
                <w:szCs w:val="24"/>
                <w:highlight w:val="none"/>
                <w14:textFill>
                  <w14:solidFill>
                    <w14:schemeClr w14:val="tx1"/>
                  </w14:solidFill>
                </w14:textFill>
              </w:rPr>
              <w:t>2020年6月2 日</w:t>
            </w:r>
            <w:r>
              <w:rPr>
                <w:rFonts w:hint="default" w:ascii="Times New Roman" w:hAnsi="Times New Roman" w:cs="Times New Roman"/>
                <w:color w:val="000000" w:themeColor="text1"/>
                <w:highlight w:val="none"/>
                <w14:textFill>
                  <w14:solidFill>
                    <w14:schemeClr w14:val="tx1"/>
                  </w14:solidFill>
                </w14:textFill>
              </w:rPr>
              <w:t>取得</w:t>
            </w:r>
            <w:r>
              <w:rPr>
                <w:rFonts w:hint="default" w:ascii="Times New Roman" w:hAnsi="Times New Roman" w:cs="Times New Roman"/>
                <w:color w:val="000000" w:themeColor="text1"/>
                <w:szCs w:val="24"/>
                <w:highlight w:val="none"/>
                <w14:textFill>
                  <w14:solidFill>
                    <w14:schemeClr w14:val="tx1"/>
                  </w14:solidFill>
                </w14:textFill>
              </w:rPr>
              <w:t>衡阳市生态环境局衡东分局</w:t>
            </w:r>
            <w:r>
              <w:rPr>
                <w:rFonts w:hint="default" w:ascii="Times New Roman" w:hAnsi="Times New Roman" w:cs="Times New Roman"/>
                <w:color w:val="000000" w:themeColor="text1"/>
                <w:highlight w:val="none"/>
                <w14:textFill>
                  <w14:solidFill>
                    <w14:schemeClr w14:val="tx1"/>
                  </w14:solidFill>
                </w14:textFill>
              </w:rPr>
              <w:t>下发的环评审批意见（</w:t>
            </w:r>
            <w:r>
              <w:rPr>
                <w:rFonts w:hint="default" w:ascii="Times New Roman" w:hAnsi="Times New Roman" w:cs="Times New Roman"/>
                <w:color w:val="000000" w:themeColor="text1"/>
                <w:szCs w:val="24"/>
                <w:highlight w:val="none"/>
                <w14:textFill>
                  <w14:solidFill>
                    <w14:schemeClr w14:val="tx1"/>
                  </w14:solidFill>
                </w14:textFill>
              </w:rPr>
              <w:t>东环评〔2020〕18 号</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2022年4月25日完成</w:t>
            </w:r>
            <w:r>
              <w:rPr>
                <w:rFonts w:hint="default" w:ascii="Times New Roman" w:hAnsi="Times New Roman" w:cs="Times New Roman"/>
                <w:color w:val="000000" w:themeColor="text1"/>
                <w:highlight w:val="none"/>
                <w14:textFill>
                  <w14:solidFill>
                    <w14:schemeClr w14:val="tx1"/>
                  </w14:solidFill>
                </w14:textFill>
              </w:rPr>
              <w:t>竣工验收手续办理。</w:t>
            </w:r>
          </w:p>
          <w:p w14:paraId="20305984">
            <w:pPr>
              <w:pStyle w:val="19"/>
              <w:spacing w:line="360" w:lineRule="auto"/>
              <w:ind w:firstLine="480" w:firstLineChars="20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（2）原有工程概况</w:t>
            </w:r>
          </w:p>
          <w:p w14:paraId="79E6EA33">
            <w:pPr>
              <w:pStyle w:val="102"/>
              <w:spacing w:line="360" w:lineRule="auto"/>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衡阳市朝阳重机有限公司高效节能制砂、制石成套系统及重装设备建设项目系租用</w:t>
            </w:r>
            <w:r>
              <w:rPr>
                <w:rFonts w:hint="default" w:ascii="Times New Roman" w:hAnsi="Times New Roman" w:cs="Times New Roman"/>
                <w:color w:val="000000" w:themeColor="text1"/>
                <w:kern w:val="2"/>
                <w:highlight w:val="none"/>
                <w14:textFill>
                  <w14:solidFill>
                    <w14:schemeClr w14:val="tx1"/>
                  </w14:solidFill>
                </w14:textFill>
              </w:rPr>
              <w:t>湖南朝阳机电股份有限公司重机事业部</w:t>
            </w:r>
            <w:r>
              <w:rPr>
                <w:rFonts w:hint="default" w:ascii="Times New Roman" w:hAnsi="Times New Roman" w:cs="Times New Roman"/>
                <w:color w:val="000000" w:themeColor="text1"/>
                <w:highlight w:val="none"/>
                <w14:textFill>
                  <w14:solidFill>
                    <w14:schemeClr w14:val="tx1"/>
                  </w14:solidFill>
                </w14:textFill>
              </w:rPr>
              <w:t>厂房、门卫室进行建设，办公用房、宿舍租用工业园住房，租赁总面积为47586m</w:t>
            </w:r>
            <w:r>
              <w:rPr>
                <w:rFonts w:hint="default" w:ascii="Times New Roman" w:hAnsi="Times New Roman" w:cs="Times New Roman"/>
                <w:color w:val="000000" w:themeColor="text1"/>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，其中：建筑面积26363.28</w:t>
            </w:r>
            <w:r>
              <w:rPr>
                <w:rFonts w:hint="default" w:ascii="Times New Roman" w:hAnsi="Times New Roman" w:cs="Times New Roman"/>
                <w:color w:val="000000" w:themeColor="text1"/>
                <w:kern w:val="2"/>
                <w:highlight w:val="none"/>
                <w14:textFill>
                  <w14:solidFill>
                    <w14:schemeClr w14:val="tx1"/>
                  </w14:solidFill>
                </w14:textFill>
              </w:rPr>
              <w:t>m</w:t>
            </w:r>
            <w:r>
              <w:rPr>
                <w:rFonts w:hint="default" w:ascii="Times New Roman" w:hAnsi="Times New Roman" w:cs="Times New Roman"/>
                <w:color w:val="000000" w:themeColor="text1"/>
                <w:kern w:val="2"/>
                <w:highlight w:val="none"/>
                <w:vertAlign w:val="super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w:t>
            </w:r>
          </w:p>
          <w:p w14:paraId="2AB3B125">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项目主要建设内容为购置机加工、喷砂、喷漆等设备，从事制砂机的生产，项目建成后可形成高效节能制砂、制石成套系统80套生产能力。项目主要建设内容见下表。</w:t>
            </w:r>
          </w:p>
          <w:p w14:paraId="4A9FB3C7">
            <w:pPr>
              <w:adjustRightInd w:val="0"/>
              <w:snapToGrid w:val="0"/>
              <w:ind w:firstLine="422" w:firstLineChars="200"/>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Cs w:val="21"/>
                <w:highlight w:val="none"/>
                <w14:textFill>
                  <w14:solidFill>
                    <w14:schemeClr w14:val="tx1"/>
                  </w14:solidFill>
                </w14:textFill>
              </w:rPr>
              <w:t>表2-1</w:t>
            </w:r>
            <w:r>
              <w:rPr>
                <w:rFonts w:hint="default" w:ascii="Times New Roman" w:hAnsi="Times New Roman" w:cs="Times New Roman"/>
                <w:b/>
                <w:color w:val="000000" w:themeColor="text1"/>
                <w:szCs w:val="21"/>
                <w:highlight w:val="none"/>
                <w:lang w:val="en-US" w:eastAsia="zh-CN"/>
                <w14:textFill>
                  <w14:solidFill>
                    <w14:schemeClr w14:val="tx1"/>
                  </w14:solidFill>
                </w14:textFill>
              </w:rPr>
              <w:t>5</w:t>
            </w:r>
            <w:r>
              <w:rPr>
                <w:rFonts w:hint="default" w:ascii="Times New Roman" w:hAnsi="Times New Roman" w:cs="Times New Roman"/>
                <w:b/>
                <w:color w:val="000000" w:themeColor="text1"/>
                <w:szCs w:val="21"/>
                <w:highlight w:val="none"/>
                <w14:textFill>
                  <w14:solidFill>
                    <w14:schemeClr w14:val="tx1"/>
                  </w14:solidFill>
                </w14:textFill>
              </w:rPr>
              <w:t xml:space="preserve"> 主要建设内容一览表</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1746"/>
              <w:gridCol w:w="4478"/>
              <w:gridCol w:w="1436"/>
            </w:tblGrid>
            <w:tr w14:paraId="45548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Align w:val="center"/>
                </w:tcPr>
                <w:p w14:paraId="6BC0C33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类别</w:t>
                  </w:r>
                </w:p>
              </w:tc>
              <w:tc>
                <w:tcPr>
                  <w:tcW w:w="1814" w:type="dxa"/>
                  <w:vAlign w:val="center"/>
                </w:tcPr>
                <w:p w14:paraId="5D0EF53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项目内容</w:t>
                  </w:r>
                </w:p>
              </w:tc>
              <w:tc>
                <w:tcPr>
                  <w:tcW w:w="4664" w:type="dxa"/>
                  <w:vAlign w:val="center"/>
                </w:tcPr>
                <w:p w14:paraId="21E23B2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工程规模</w:t>
                  </w:r>
                </w:p>
              </w:tc>
              <w:tc>
                <w:tcPr>
                  <w:tcW w:w="1485" w:type="dxa"/>
                  <w:vAlign w:val="center"/>
                </w:tcPr>
                <w:p w14:paraId="7F0386B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备注</w:t>
                  </w:r>
                </w:p>
              </w:tc>
            </w:tr>
            <w:tr w14:paraId="6FC8F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vAlign w:val="center"/>
                </w:tcPr>
                <w:p w14:paraId="569944A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主体</w:t>
                  </w:r>
                </w:p>
                <w:p w14:paraId="50EB3F0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工程</w:t>
                  </w:r>
                </w:p>
              </w:tc>
              <w:tc>
                <w:tcPr>
                  <w:tcW w:w="1814" w:type="dxa"/>
                  <w:vAlign w:val="center"/>
                </w:tcPr>
                <w:p w14:paraId="6BDD447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车间1（机加工车间）</w:t>
                  </w:r>
                </w:p>
              </w:tc>
              <w:tc>
                <w:tcPr>
                  <w:tcW w:w="4664" w:type="dxa"/>
                  <w:vAlign w:val="center"/>
                </w:tcPr>
                <w:p w14:paraId="22982BB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1F，层高10m，建筑面积13816.5m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，其中机加工生产区约6910m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、来料待加工区500m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、成品暂存区约2300m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。内设机加工生产设备约52台。</w:t>
                  </w:r>
                </w:p>
              </w:tc>
              <w:tc>
                <w:tcPr>
                  <w:tcW w:w="1485" w:type="dxa"/>
                  <w:vAlign w:val="center"/>
                </w:tcPr>
                <w:p w14:paraId="42D13AC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其建筑物及车间内设备基本全部为租赁。</w:t>
                  </w:r>
                </w:p>
              </w:tc>
            </w:tr>
            <w:tr w14:paraId="770EF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0B17B51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278BB8C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车间2（装配车间）</w:t>
                  </w:r>
                </w:p>
              </w:tc>
              <w:tc>
                <w:tcPr>
                  <w:tcW w:w="4664" w:type="dxa"/>
                  <w:vAlign w:val="center"/>
                </w:tcPr>
                <w:p w14:paraId="363CA0A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1F，层高10m，建筑面积11405.76m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，其中结构件生产区约7100m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、装配区600m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、成品暂存区约1900m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，喷砂房400m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，喷漆房60.5m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，外购件仓库960m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，内设</w:t>
                  </w:r>
                  <w:r>
                    <w:rPr>
                      <w:rFonts w:hint="default" w:ascii="Times New Roman" w:hAnsi="Times New Roman" w:cs="Times New Roman"/>
                      <w:color w:val="000000" w:themeColor="text1"/>
                      <w:szCs w:val="21"/>
                      <w:highlight w:val="none"/>
                      <w14:textFill>
                        <w14:solidFill>
                          <w14:schemeClr w14:val="tx1"/>
                        </w14:solidFill>
                      </w14:textFill>
                    </w:rPr>
                    <w:cr/>
                  </w:r>
                  <w:r>
                    <w:rPr>
                      <w:rFonts w:hint="default" w:ascii="Times New Roman" w:hAnsi="Times New Roman" w:cs="Times New Roman"/>
                      <w:color w:val="000000" w:themeColor="text1"/>
                      <w:szCs w:val="21"/>
                      <w:highlight w:val="none"/>
                      <w14:textFill>
                        <w14:solidFill>
                          <w14:schemeClr w14:val="tx1"/>
                        </w14:solidFill>
                      </w14:textFill>
                    </w:rPr>
                    <w:t>构件生产设备约78台。</w:t>
                  </w:r>
                </w:p>
              </w:tc>
              <w:tc>
                <w:tcPr>
                  <w:tcW w:w="1485" w:type="dxa"/>
                  <w:vAlign w:val="center"/>
                </w:tcPr>
                <w:p w14:paraId="4EED0CC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其建筑物为租赁</w:t>
                  </w:r>
                </w:p>
              </w:tc>
            </w:tr>
            <w:tr w14:paraId="364E2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vAlign w:val="center"/>
                </w:tcPr>
                <w:p w14:paraId="152FBD8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辅助工程</w:t>
                  </w:r>
                </w:p>
              </w:tc>
              <w:tc>
                <w:tcPr>
                  <w:tcW w:w="1814" w:type="dxa"/>
                  <w:vAlign w:val="center"/>
                </w:tcPr>
                <w:p w14:paraId="6386641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办公用房</w:t>
                  </w:r>
                </w:p>
              </w:tc>
              <w:tc>
                <w:tcPr>
                  <w:tcW w:w="4664" w:type="dxa"/>
                  <w:vAlign w:val="center"/>
                </w:tcPr>
                <w:p w14:paraId="35BBB3B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办公，2F，总建筑面积1141.02m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w:t>
                  </w:r>
                </w:p>
              </w:tc>
              <w:tc>
                <w:tcPr>
                  <w:tcW w:w="1485" w:type="dxa"/>
                  <w:vMerge w:val="restart"/>
                  <w:vAlign w:val="center"/>
                </w:tcPr>
                <w:p w14:paraId="7CE9F44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其建筑物为租赁</w:t>
                  </w:r>
                </w:p>
              </w:tc>
            </w:tr>
            <w:tr w14:paraId="7EA40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704B664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17A05D0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食堂</w:t>
                  </w:r>
                </w:p>
              </w:tc>
              <w:tc>
                <w:tcPr>
                  <w:tcW w:w="4664" w:type="dxa"/>
                  <w:vAlign w:val="center"/>
                </w:tcPr>
                <w:p w14:paraId="7E1ECE3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职工就餐，1F，总建筑面积567m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1485" w:type="dxa"/>
                  <w:vMerge w:val="continue"/>
                  <w:vAlign w:val="center"/>
                </w:tcPr>
                <w:p w14:paraId="7ED9A536">
                  <w:pPr>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2DE4A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74B1408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4F050FF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倒班宿舍</w:t>
                  </w:r>
                </w:p>
              </w:tc>
              <w:tc>
                <w:tcPr>
                  <w:tcW w:w="4664" w:type="dxa"/>
                  <w:vAlign w:val="center"/>
                </w:tcPr>
                <w:p w14:paraId="1041AAD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职工住宿，1层，总建筑面积420 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1485" w:type="dxa"/>
                  <w:vMerge w:val="continue"/>
                  <w:vAlign w:val="center"/>
                </w:tcPr>
                <w:p w14:paraId="424360C8">
                  <w:pPr>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3DCBA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375BDDE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5A5DE7A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门卫室</w:t>
                  </w:r>
                </w:p>
              </w:tc>
              <w:tc>
                <w:tcPr>
                  <w:tcW w:w="4664" w:type="dxa"/>
                  <w:vAlign w:val="center"/>
                </w:tcPr>
                <w:p w14:paraId="5F8DA71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安全、保卫，建筑面积9 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p>
              </w:tc>
              <w:tc>
                <w:tcPr>
                  <w:tcW w:w="1485" w:type="dxa"/>
                  <w:vMerge w:val="continue"/>
                  <w:vAlign w:val="center"/>
                </w:tcPr>
                <w:p w14:paraId="585130D8">
                  <w:pPr>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670A8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vAlign w:val="center"/>
                </w:tcPr>
                <w:p w14:paraId="49CB077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依托工程</w:t>
                  </w:r>
                </w:p>
              </w:tc>
              <w:tc>
                <w:tcPr>
                  <w:tcW w:w="1814" w:type="dxa"/>
                  <w:vAlign w:val="center"/>
                </w:tcPr>
                <w:p w14:paraId="0CE9905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供水</w:t>
                  </w:r>
                </w:p>
              </w:tc>
              <w:tc>
                <w:tcPr>
                  <w:tcW w:w="6149" w:type="dxa"/>
                  <w:gridSpan w:val="2"/>
                  <w:vAlign w:val="center"/>
                </w:tcPr>
                <w:p w14:paraId="7753DB2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园区供水管网</w:t>
                  </w:r>
                </w:p>
              </w:tc>
            </w:tr>
            <w:tr w14:paraId="46A33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1AC2D2B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3F19729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排水</w:t>
                  </w:r>
                </w:p>
              </w:tc>
              <w:tc>
                <w:tcPr>
                  <w:tcW w:w="6149" w:type="dxa"/>
                  <w:gridSpan w:val="2"/>
                  <w:vAlign w:val="center"/>
                </w:tcPr>
                <w:p w14:paraId="4E4EF89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3"/>
                      <w:kern w:val="0"/>
                      <w:szCs w:val="21"/>
                      <w:highlight w:val="none"/>
                      <w14:textFill>
                        <w14:solidFill>
                          <w14:schemeClr w14:val="tx1"/>
                        </w14:solidFill>
                      </w14:textFill>
                    </w:rPr>
                    <w:t>依托园区污水管网，采取雨污分流，雨水收集后排入园区雨水管网；生活废水通过工业园污水管网排入大浦污水处理厂</w:t>
                  </w:r>
                </w:p>
              </w:tc>
            </w:tr>
            <w:tr w14:paraId="013B7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7E61880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7EAD4DA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供电</w:t>
                  </w:r>
                </w:p>
              </w:tc>
              <w:tc>
                <w:tcPr>
                  <w:tcW w:w="6149" w:type="dxa"/>
                  <w:gridSpan w:val="2"/>
                  <w:vAlign w:val="center"/>
                </w:tcPr>
                <w:p w14:paraId="59893EC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园区供电</w:t>
                  </w:r>
                </w:p>
              </w:tc>
            </w:tr>
            <w:tr w14:paraId="5EC31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vAlign w:val="center"/>
                </w:tcPr>
                <w:p w14:paraId="60BC69F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储运工程</w:t>
                  </w:r>
                </w:p>
              </w:tc>
              <w:tc>
                <w:tcPr>
                  <w:tcW w:w="1814" w:type="dxa"/>
                  <w:vAlign w:val="center"/>
                </w:tcPr>
                <w:p w14:paraId="373B072C">
                  <w:pPr>
                    <w:pStyle w:val="82"/>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原料仓库</w:t>
                  </w:r>
                </w:p>
              </w:tc>
              <w:tc>
                <w:tcPr>
                  <w:tcW w:w="6149" w:type="dxa"/>
                  <w:gridSpan w:val="2"/>
                  <w:vAlign w:val="center"/>
                </w:tcPr>
                <w:p w14:paraId="6E8EF661">
                  <w:pPr>
                    <w:pStyle w:val="82"/>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1、在加工车间内置有面积约为288平方米内置板式办公室；</w:t>
                  </w:r>
                </w:p>
                <w:p w14:paraId="7D8EC771">
                  <w:pPr>
                    <w:pStyle w:val="82"/>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2、在</w:t>
                  </w:r>
                  <w:r>
                    <w:rPr>
                      <w:rFonts w:hint="default" w:ascii="Times New Roman" w:hAnsi="Times New Roman" w:cs="Times New Roman"/>
                      <w:color w:val="000000" w:themeColor="text1"/>
                      <w:sz w:val="21"/>
                      <w:szCs w:val="21"/>
                      <w:highlight w:val="none"/>
                      <w:lang w:eastAsia="zh-CN"/>
                      <w14:textFill>
                        <w14:solidFill>
                          <w14:schemeClr w14:val="tx1"/>
                        </w14:solidFill>
                      </w14:textFill>
                    </w:rPr>
                    <w:t>装配车间内</w:t>
                  </w: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置有面积约为960平方米辅助材料、焊料、五金部件、涂料仓库（网格隔离式、内置板式办公室）。</w:t>
                  </w:r>
                </w:p>
                <w:p w14:paraId="698642F1">
                  <w:pPr>
                    <w:pStyle w:val="82"/>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3、在装配车间置有面积约为240平方米板材料暂存区。</w:t>
                  </w:r>
                </w:p>
              </w:tc>
            </w:tr>
            <w:tr w14:paraId="151C4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7CA4221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3FBCE848">
                  <w:pPr>
                    <w:pStyle w:val="82"/>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成品仓库</w:t>
                  </w:r>
                </w:p>
              </w:tc>
              <w:tc>
                <w:tcPr>
                  <w:tcW w:w="6149" w:type="dxa"/>
                  <w:gridSpan w:val="2"/>
                  <w:vAlign w:val="center"/>
                </w:tcPr>
                <w:p w14:paraId="4D27EBD8">
                  <w:pPr>
                    <w:pStyle w:val="82"/>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1、在加工车间内置有面积约为2300平方米成品仓库，由辅助材料仓管员统一管理。</w:t>
                  </w:r>
                </w:p>
                <w:p w14:paraId="0F8FA792">
                  <w:pPr>
                    <w:pStyle w:val="82"/>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2、在装配车间内置有约1900平方米成品暂存仓</w:t>
                  </w:r>
                </w:p>
              </w:tc>
            </w:tr>
            <w:tr w14:paraId="7DCCA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78E86F2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07FDE426">
                  <w:pPr>
                    <w:pStyle w:val="82"/>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危废暂存间</w:t>
                  </w:r>
                </w:p>
              </w:tc>
              <w:tc>
                <w:tcPr>
                  <w:tcW w:w="6149" w:type="dxa"/>
                  <w:gridSpan w:val="2"/>
                  <w:vAlign w:val="center"/>
                </w:tcPr>
                <w:p w14:paraId="32262E58">
                  <w:pPr>
                    <w:pStyle w:val="82"/>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用于危险废物暂存，建筑面积约28m</w:t>
                  </w:r>
                  <w:r>
                    <w:rPr>
                      <w:rFonts w:hint="default" w:ascii="Times New Roman" w:hAnsi="Times New Roman" w:cs="Times New Roman"/>
                      <w:color w:val="000000" w:themeColor="text1"/>
                      <w:sz w:val="21"/>
                      <w:szCs w:val="21"/>
                      <w:highlight w:val="none"/>
                      <w:vertAlign w:val="superscript"/>
                      <w:lang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eastAsia="zh-CN"/>
                      <w14:textFill>
                        <w14:solidFill>
                          <w14:schemeClr w14:val="tx1"/>
                        </w14:solidFill>
                      </w14:textFill>
                    </w:rPr>
                    <w:t>，位于厂房外空地处</w:t>
                  </w:r>
                </w:p>
              </w:tc>
            </w:tr>
            <w:tr w14:paraId="37B41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restart"/>
                  <w:vAlign w:val="center"/>
                </w:tcPr>
                <w:p w14:paraId="2EB14A5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环保工程</w:t>
                  </w:r>
                </w:p>
              </w:tc>
              <w:tc>
                <w:tcPr>
                  <w:tcW w:w="1814" w:type="dxa"/>
                  <w:vAlign w:val="center"/>
                </w:tcPr>
                <w:p w14:paraId="627EDC7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废水</w:t>
                  </w:r>
                </w:p>
              </w:tc>
              <w:tc>
                <w:tcPr>
                  <w:tcW w:w="6149" w:type="dxa"/>
                  <w:gridSpan w:val="2"/>
                  <w:vAlign w:val="center"/>
                </w:tcPr>
                <w:p w14:paraId="37DD167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生活废水原有化粪池处理后外排</w:t>
                  </w:r>
                </w:p>
              </w:tc>
            </w:tr>
            <w:tr w14:paraId="57BCF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13F7D9E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267050E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废气</w:t>
                  </w:r>
                </w:p>
              </w:tc>
              <w:tc>
                <w:tcPr>
                  <w:tcW w:w="6149" w:type="dxa"/>
                  <w:gridSpan w:val="2"/>
                  <w:vAlign w:val="center"/>
                </w:tcPr>
                <w:p w14:paraId="3DDCBF21">
                  <w:pPr>
                    <w:pStyle w:val="82"/>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1、喷漆废气采用经前置预处理+UV光解+活性炭吸附装置处理后经1#15m排气筒外排；</w:t>
                  </w:r>
                </w:p>
                <w:p w14:paraId="589D2F93">
                  <w:pPr>
                    <w:pStyle w:val="82"/>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2、焊接工序产生的烟尘采用烟尘净化装置处理</w:t>
                  </w:r>
                </w:p>
                <w:p w14:paraId="21370B65">
                  <w:pPr>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3、喷砂工序产生的粉尘采用布袋除尘器净化处理后经2#15m排气筒外排</w:t>
                  </w:r>
                </w:p>
              </w:tc>
            </w:tr>
            <w:tr w14:paraId="1C2C5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078BE7C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1D473F7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噪声</w:t>
                  </w:r>
                </w:p>
              </w:tc>
              <w:tc>
                <w:tcPr>
                  <w:tcW w:w="6149" w:type="dxa"/>
                  <w:gridSpan w:val="2"/>
                  <w:vAlign w:val="center"/>
                </w:tcPr>
                <w:p w14:paraId="515A9C5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设备噪声经减震和厂房隔声</w:t>
                  </w:r>
                </w:p>
              </w:tc>
            </w:tr>
            <w:tr w14:paraId="3C152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6CE5320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Merge w:val="restart"/>
                  <w:vAlign w:val="center"/>
                </w:tcPr>
                <w:p w14:paraId="2FBD11B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固废</w:t>
                  </w:r>
                </w:p>
              </w:tc>
              <w:tc>
                <w:tcPr>
                  <w:tcW w:w="6149" w:type="dxa"/>
                  <w:gridSpan w:val="2"/>
                  <w:vAlign w:val="center"/>
                </w:tcPr>
                <w:p w14:paraId="035E0F06">
                  <w:pPr>
                    <w:pStyle w:val="82"/>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一般固废：1、生活垃圾分类收集，环卫部门清运；</w:t>
                  </w:r>
                </w:p>
                <w:p w14:paraId="4A7315B9">
                  <w:pPr>
                    <w:ind w:firstLine="1050" w:firstLineChars="50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2、金属废料收集后外售；</w:t>
                  </w:r>
                </w:p>
              </w:tc>
            </w:tr>
            <w:tr w14:paraId="41AFA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1321918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Merge w:val="continue"/>
                  <w:vAlign w:val="center"/>
                </w:tcPr>
                <w:p w14:paraId="09D9A36B">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149" w:type="dxa"/>
                  <w:gridSpan w:val="2"/>
                  <w:vAlign w:val="center"/>
                </w:tcPr>
                <w:p w14:paraId="7D5F078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危险废物：危废暂存于危废房（危废暂存间建筑面积28m</w:t>
                  </w:r>
                  <w:r>
                    <w:rPr>
                      <w:rFonts w:hint="default" w:ascii="Times New Roman" w:hAnsi="Times New Roman" w:cs="Times New Roman"/>
                      <w:color w:val="000000" w:themeColor="text1"/>
                      <w:szCs w:val="21"/>
                      <w:highlight w:val="none"/>
                      <w:vertAlign w:val="superscript"/>
                      <w14:textFill>
                        <w14:solidFill>
                          <w14:schemeClr w14:val="tx1"/>
                        </w14:solidFill>
                      </w14:textFill>
                    </w:rPr>
                    <w:t>2</w:t>
                  </w:r>
                  <w:r>
                    <w:rPr>
                      <w:rFonts w:hint="default" w:ascii="Times New Roman" w:hAnsi="Times New Roman" w:cs="Times New Roman"/>
                      <w:color w:val="000000" w:themeColor="text1"/>
                      <w:szCs w:val="21"/>
                      <w:highlight w:val="none"/>
                      <w14:textFill>
                        <w14:solidFill>
                          <w14:schemeClr w14:val="tx1"/>
                        </w14:solidFill>
                      </w14:textFill>
                    </w:rPr>
                    <w:t>），定期委托资质单位清运处置</w:t>
                  </w:r>
                </w:p>
              </w:tc>
            </w:tr>
            <w:tr w14:paraId="3F373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vMerge w:val="continue"/>
                  <w:vAlign w:val="center"/>
                </w:tcPr>
                <w:p w14:paraId="0B6E976B">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14" w:type="dxa"/>
                  <w:vAlign w:val="center"/>
                </w:tcPr>
                <w:p w14:paraId="2CB3AAC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事故风险</w:t>
                  </w:r>
                </w:p>
              </w:tc>
              <w:tc>
                <w:tcPr>
                  <w:tcW w:w="6149" w:type="dxa"/>
                  <w:gridSpan w:val="2"/>
                  <w:vAlign w:val="center"/>
                </w:tcPr>
                <w:p w14:paraId="03AA8183">
                  <w:pPr>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2"/>
                      <w:szCs w:val="21"/>
                      <w:highlight w:val="none"/>
                      <w14:textFill>
                        <w14:solidFill>
                          <w14:schemeClr w14:val="tx1"/>
                        </w14:solidFill>
                      </w14:textFill>
                    </w:rPr>
                    <w:t>建立事故水池，事故池有效容积200m</w:t>
                  </w:r>
                  <w:r>
                    <w:rPr>
                      <w:rFonts w:hint="default" w:ascii="Times New Roman" w:hAnsi="Times New Roman" w:cs="Times New Roman"/>
                      <w:color w:val="000000" w:themeColor="text1"/>
                      <w:spacing w:val="-2"/>
                      <w:szCs w:val="21"/>
                      <w:highlight w:val="none"/>
                      <w:vertAlign w:val="superscript"/>
                      <w14:textFill>
                        <w14:solidFill>
                          <w14:schemeClr w14:val="tx1"/>
                        </w14:solidFill>
                      </w14:textFill>
                    </w:rPr>
                    <w:t>3</w:t>
                  </w:r>
                  <w:r>
                    <w:rPr>
                      <w:rFonts w:hint="default" w:ascii="Times New Roman" w:hAnsi="Times New Roman" w:cs="Times New Roman"/>
                      <w:color w:val="000000" w:themeColor="text1"/>
                      <w:spacing w:val="-2"/>
                      <w:szCs w:val="21"/>
                      <w:highlight w:val="none"/>
                      <w14:textFill>
                        <w14:solidFill>
                          <w14:schemeClr w14:val="tx1"/>
                        </w14:solidFill>
                      </w14:textFill>
                    </w:rPr>
                    <w:t>，油漆、稀释剂等液态物料储存区</w:t>
                  </w:r>
                  <w:r>
                    <w:rPr>
                      <w:rFonts w:hint="default" w:ascii="Times New Roman" w:hAnsi="Times New Roman" w:cs="Times New Roman"/>
                      <w:color w:val="000000" w:themeColor="text1"/>
                      <w:szCs w:val="21"/>
                      <w:highlight w:val="none"/>
                      <w14:textFill>
                        <w14:solidFill>
                          <w14:schemeClr w14:val="tx1"/>
                        </w14:solidFill>
                      </w14:textFill>
                    </w:rPr>
                    <w:t>设围堰（或活动板房）</w:t>
                  </w:r>
                </w:p>
              </w:tc>
            </w:tr>
          </w:tbl>
          <w:p w14:paraId="447CDCDB">
            <w:pPr>
              <w:pStyle w:val="19"/>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（3）原有工程污染物排放情况</w:t>
            </w:r>
          </w:p>
          <w:p w14:paraId="053191EF">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1）废气</w:t>
            </w:r>
          </w:p>
          <w:p w14:paraId="59B81F2B">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主要废气有涂装油漆工序产生的有机废气；钢材焊接、机加工、打磨等工序产生的烟尘、粉尘；食堂产生的油烟。喷漆废气采用经前置预处理（三级干式过滤）+UV光解+活性炭吸附装置处理后经1#15m排气筒外排；焊接工序产生的烟尘采用烟尘净化装置处理无组织排放；喷砂抛丸工序产生的粉尘采用布袋除尘器净化处理后经2#15m排气筒外排。</w:t>
            </w:r>
          </w:p>
          <w:p w14:paraId="1FE330DF">
            <w:pPr>
              <w:spacing w:line="360" w:lineRule="auto"/>
              <w:ind w:firstLine="480" w:firstLineChars="200"/>
              <w:rPr>
                <w:rFonts w:hint="default" w:ascii="Times New Roman" w:hAnsi="Times New Roman" w:cs="Times New Roman"/>
                <w:color w:val="000000" w:themeColor="text1"/>
                <w:sz w:val="24"/>
                <w:highlight w:val="none"/>
                <w:u w:val="single" w:color="auto"/>
                <w14:textFill>
                  <w14:solidFill>
                    <w14:schemeClr w14:val="tx1"/>
                  </w14:solidFill>
                </w14:textFill>
              </w:rPr>
            </w:pPr>
            <w:r>
              <w:rPr>
                <w:rFonts w:hint="default" w:ascii="Times New Roman" w:hAnsi="Times New Roman" w:cs="Times New Roman"/>
                <w:color w:val="000000" w:themeColor="text1"/>
                <w:sz w:val="24"/>
                <w:szCs w:val="24"/>
                <w:highlight w:val="none"/>
                <w:u w:val="single" w:color="auto"/>
                <w14:textFill>
                  <w14:solidFill>
                    <w14:schemeClr w14:val="tx1"/>
                  </w14:solidFill>
                </w14:textFill>
              </w:rPr>
              <w:t>湖南</w:t>
            </w:r>
            <w:r>
              <w:rPr>
                <w:rFonts w:hint="default" w:ascii="Times New Roman" w:hAnsi="Times New Roman" w:cs="Times New Roman"/>
                <w:color w:val="000000" w:themeColor="text1"/>
                <w:sz w:val="24"/>
                <w:szCs w:val="24"/>
                <w:highlight w:val="none"/>
                <w:u w:val="single" w:color="auto"/>
                <w:lang w:val="en-US" w:eastAsia="zh-CN"/>
                <w14:textFill>
                  <w14:solidFill>
                    <w14:schemeClr w14:val="tx1"/>
                  </w14:solidFill>
                </w14:textFill>
              </w:rPr>
              <w:t>林晟环境</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检测有限公司于2021年</w:t>
            </w:r>
            <w:r>
              <w:rPr>
                <w:rFonts w:hint="default" w:ascii="Times New Roman" w:hAnsi="Times New Roman" w:cs="Times New Roman"/>
                <w:color w:val="000000" w:themeColor="text1"/>
                <w:sz w:val="24"/>
                <w:szCs w:val="24"/>
                <w:highlight w:val="none"/>
                <w:u w:val="single" w:color="auto"/>
                <w:lang w:val="en-US" w:eastAsia="zh-CN"/>
                <w14:textFill>
                  <w14:solidFill>
                    <w14:schemeClr w14:val="tx1"/>
                  </w14:solidFill>
                </w14:textFill>
              </w:rPr>
              <w:t>11</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月1</w:t>
            </w:r>
            <w:r>
              <w:rPr>
                <w:rFonts w:hint="default" w:ascii="Times New Roman" w:hAnsi="Times New Roman" w:cs="Times New Roman"/>
                <w:color w:val="000000" w:themeColor="text1"/>
                <w:sz w:val="24"/>
                <w:szCs w:val="24"/>
                <w:highlight w:val="none"/>
                <w:u w:val="single" w:color="auto"/>
                <w:lang w:val="en-US" w:eastAsia="zh-CN"/>
                <w14:textFill>
                  <w14:solidFill>
                    <w14:schemeClr w14:val="tx1"/>
                  </w14:solidFill>
                </w14:textFill>
              </w:rPr>
              <w:t>4</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日</w:t>
            </w:r>
            <w:r>
              <w:rPr>
                <w:rFonts w:hint="default" w:ascii="Times New Roman" w:hAnsi="Times New Roman" w:cs="Times New Roman"/>
                <w:color w:val="000000" w:themeColor="text1"/>
                <w:sz w:val="24"/>
                <w:szCs w:val="24"/>
                <w:highlight w:val="none"/>
                <w:u w:val="single" w:color="auto"/>
                <w:lang w:val="en-US" w:eastAsia="zh-CN"/>
                <w14:textFill>
                  <w14:solidFill>
                    <w14:schemeClr w14:val="tx1"/>
                  </w14:solidFill>
                </w14:textFill>
              </w:rPr>
              <w:t>至15日</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对</w:t>
            </w:r>
            <w:r>
              <w:rPr>
                <w:rFonts w:hint="default" w:ascii="Times New Roman" w:hAnsi="Times New Roman" w:eastAsia="宋体" w:cs="Times New Roman"/>
                <w:color w:val="000000" w:themeColor="text1"/>
                <w:sz w:val="24"/>
                <w:szCs w:val="24"/>
                <w:highlight w:val="none"/>
                <w:u w:val="single" w:color="auto"/>
                <w14:textFill>
                  <w14:solidFill>
                    <w14:schemeClr w14:val="tx1"/>
                  </w14:solidFill>
                </w14:textFill>
              </w:rPr>
              <w:t>衡阳市朝阳重机有限公司</w:t>
            </w:r>
            <w:r>
              <w:rPr>
                <w:rFonts w:hint="default" w:ascii="Times New Roman" w:hAnsi="Times New Roman" w:cs="Times New Roman"/>
                <w:color w:val="000000" w:themeColor="text1"/>
                <w:sz w:val="24"/>
                <w:szCs w:val="24"/>
                <w:highlight w:val="none"/>
                <w:u w:val="single" w:color="auto"/>
                <w14:textFill>
                  <w14:solidFill>
                    <w14:schemeClr w14:val="tx1"/>
                  </w14:solidFill>
                </w14:textFill>
              </w:rPr>
              <w:t>进行了废气</w:t>
            </w:r>
            <w:r>
              <w:rPr>
                <w:rFonts w:hint="default" w:ascii="Times New Roman" w:hAnsi="Times New Roman" w:cs="Times New Roman"/>
                <w:color w:val="000000" w:themeColor="text1"/>
                <w:sz w:val="24"/>
                <w:highlight w:val="none"/>
                <w:u w:val="single" w:color="auto"/>
                <w14:textFill>
                  <w14:solidFill>
                    <w14:schemeClr w14:val="tx1"/>
                  </w14:solidFill>
                </w14:textFill>
              </w:rPr>
              <w:t>污染源监测，监测期间生产设备和废气处理设施正常运行，工况负荷约</w:t>
            </w:r>
            <w:r>
              <w:rPr>
                <w:rFonts w:hint="default" w:ascii="Times New Roman" w:hAnsi="Times New Roman" w:cs="Times New Roman"/>
                <w:color w:val="000000" w:themeColor="text1"/>
                <w:sz w:val="24"/>
                <w:highlight w:val="none"/>
                <w:u w:val="single" w:color="auto"/>
                <w:lang w:val="en-US" w:eastAsia="zh-CN"/>
                <w14:textFill>
                  <w14:solidFill>
                    <w14:schemeClr w14:val="tx1"/>
                  </w14:solidFill>
                </w14:textFill>
              </w:rPr>
              <w:t>78</w:t>
            </w:r>
            <w:r>
              <w:rPr>
                <w:rFonts w:hint="default" w:ascii="Times New Roman" w:hAnsi="Times New Roman" w:cs="Times New Roman"/>
                <w:color w:val="000000" w:themeColor="text1"/>
                <w:sz w:val="24"/>
                <w:highlight w:val="none"/>
                <w:u w:val="single" w:color="auto"/>
                <w14:textFill>
                  <w14:solidFill>
                    <w14:schemeClr w14:val="tx1"/>
                  </w14:solidFill>
                </w14:textFill>
              </w:rPr>
              <w:t>%。监测结果见下表。</w:t>
            </w:r>
          </w:p>
          <w:p w14:paraId="4EBC01CA">
            <w:pPr>
              <w:pStyle w:val="73"/>
              <w:rPr>
                <w:rFonts w:hint="default" w:ascii="Times New Roman" w:hAnsi="Times New Roman" w:cs="Times New Roman"/>
                <w:color w:val="000000" w:themeColor="text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表2-1</w:t>
            </w:r>
            <w:r>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 xml:space="preserve">  项目有组织废气监测结果（单位：浓度mg/m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、排放速率kg/h）</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175"/>
              <w:gridCol w:w="925"/>
              <w:gridCol w:w="699"/>
              <w:gridCol w:w="880"/>
              <w:gridCol w:w="871"/>
              <w:gridCol w:w="875"/>
              <w:gridCol w:w="1036"/>
              <w:gridCol w:w="680"/>
            </w:tblGrid>
            <w:tr w14:paraId="35D44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46" w:type="dxa"/>
                  <w:vMerge w:val="restart"/>
                  <w:vAlign w:val="center"/>
                </w:tcPr>
                <w:p w14:paraId="7DB7621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检测</w:t>
                  </w:r>
                </w:p>
                <w:p w14:paraId="2B4388A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点位</w:t>
                  </w:r>
                </w:p>
              </w:tc>
              <w:tc>
                <w:tcPr>
                  <w:tcW w:w="1175" w:type="dxa"/>
                  <w:vMerge w:val="restart"/>
                  <w:vAlign w:val="center"/>
                </w:tcPr>
                <w:p w14:paraId="563068C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采样日期</w:t>
                  </w:r>
                </w:p>
              </w:tc>
              <w:tc>
                <w:tcPr>
                  <w:tcW w:w="1624" w:type="dxa"/>
                  <w:gridSpan w:val="2"/>
                  <w:vMerge w:val="restart"/>
                  <w:vAlign w:val="center"/>
                </w:tcPr>
                <w:p w14:paraId="3C554B2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检测因子</w:t>
                  </w:r>
                </w:p>
              </w:tc>
              <w:tc>
                <w:tcPr>
                  <w:tcW w:w="2626" w:type="dxa"/>
                  <w:gridSpan w:val="3"/>
                  <w:vAlign w:val="center"/>
                </w:tcPr>
                <w:p w14:paraId="58947DC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检测结果</w:t>
                  </w:r>
                </w:p>
              </w:tc>
              <w:tc>
                <w:tcPr>
                  <w:tcW w:w="1036" w:type="dxa"/>
                  <w:vMerge w:val="restart"/>
                  <w:vAlign w:val="center"/>
                </w:tcPr>
                <w:p w14:paraId="2D6B55F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均值</w:t>
                  </w:r>
                </w:p>
              </w:tc>
              <w:tc>
                <w:tcPr>
                  <w:tcW w:w="680" w:type="dxa"/>
                  <w:vMerge w:val="restart"/>
                  <w:vAlign w:val="center"/>
                </w:tcPr>
                <w:p w14:paraId="144567A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标准限值</w:t>
                  </w:r>
                </w:p>
              </w:tc>
            </w:tr>
            <w:tr w14:paraId="7435E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846" w:type="dxa"/>
                  <w:vMerge w:val="continue"/>
                  <w:vAlign w:val="center"/>
                </w:tcPr>
                <w:p w14:paraId="5188B51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B7B11A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624" w:type="dxa"/>
                  <w:gridSpan w:val="2"/>
                  <w:vMerge w:val="continue"/>
                  <w:vAlign w:val="center"/>
                </w:tcPr>
                <w:p w14:paraId="1A30560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880" w:type="dxa"/>
                  <w:vAlign w:val="center"/>
                </w:tcPr>
                <w:p w14:paraId="5ECC382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第一次</w:t>
                  </w:r>
                </w:p>
              </w:tc>
              <w:tc>
                <w:tcPr>
                  <w:tcW w:w="871" w:type="dxa"/>
                  <w:vAlign w:val="center"/>
                </w:tcPr>
                <w:p w14:paraId="1C8130C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第二次</w:t>
                  </w:r>
                </w:p>
              </w:tc>
              <w:tc>
                <w:tcPr>
                  <w:tcW w:w="875" w:type="dxa"/>
                  <w:vAlign w:val="center"/>
                </w:tcPr>
                <w:p w14:paraId="271B9E6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第三次</w:t>
                  </w:r>
                </w:p>
              </w:tc>
              <w:tc>
                <w:tcPr>
                  <w:tcW w:w="1036" w:type="dxa"/>
                  <w:vMerge w:val="continue"/>
                  <w:vAlign w:val="center"/>
                </w:tcPr>
                <w:p w14:paraId="70E6A7F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80" w:type="dxa"/>
                  <w:vMerge w:val="continue"/>
                  <w:vAlign w:val="center"/>
                </w:tcPr>
                <w:p w14:paraId="0FEFDA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r>
            <w:tr w14:paraId="0F55F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restart"/>
                  <w:vAlign w:val="center"/>
                </w:tcPr>
                <w:p w14:paraId="258AF87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喷漆房1#处理设施进口</w:t>
                  </w:r>
                </w:p>
              </w:tc>
              <w:tc>
                <w:tcPr>
                  <w:tcW w:w="1175" w:type="dxa"/>
                  <w:vMerge w:val="restart"/>
                  <w:vAlign w:val="center"/>
                </w:tcPr>
                <w:p w14:paraId="6867135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2021.11.14</w:t>
                  </w:r>
                </w:p>
              </w:tc>
              <w:tc>
                <w:tcPr>
                  <w:tcW w:w="1624" w:type="dxa"/>
                  <w:gridSpan w:val="2"/>
                  <w:vAlign w:val="center"/>
                </w:tcPr>
                <w:p w14:paraId="7C3F527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62A7D76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20480</w:t>
                  </w:r>
                </w:p>
              </w:tc>
              <w:tc>
                <w:tcPr>
                  <w:tcW w:w="871" w:type="dxa"/>
                  <w:vAlign w:val="center"/>
                </w:tcPr>
                <w:p w14:paraId="469AC64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20673</w:t>
                  </w:r>
                </w:p>
              </w:tc>
              <w:tc>
                <w:tcPr>
                  <w:tcW w:w="875" w:type="dxa"/>
                  <w:vAlign w:val="center"/>
                </w:tcPr>
                <w:p w14:paraId="7C726F5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21086</w:t>
                  </w:r>
                </w:p>
              </w:tc>
              <w:tc>
                <w:tcPr>
                  <w:tcW w:w="1036" w:type="dxa"/>
                  <w:vAlign w:val="center"/>
                </w:tcPr>
                <w:p w14:paraId="39BF0F8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20746.33</w:t>
                  </w:r>
                </w:p>
              </w:tc>
              <w:tc>
                <w:tcPr>
                  <w:tcW w:w="680" w:type="dxa"/>
                  <w:vAlign w:val="center"/>
                </w:tcPr>
                <w:p w14:paraId="0DD7A45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1F42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7CFE225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3FA934C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5BA6F80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3ECFA5D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52B7DF5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65650DC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40</w:t>
                  </w:r>
                </w:p>
              </w:tc>
              <w:tc>
                <w:tcPr>
                  <w:tcW w:w="871" w:type="dxa"/>
                  <w:vAlign w:val="center"/>
                </w:tcPr>
                <w:p w14:paraId="29B9042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43</w:t>
                  </w:r>
                </w:p>
              </w:tc>
              <w:tc>
                <w:tcPr>
                  <w:tcW w:w="875" w:type="dxa"/>
                  <w:vAlign w:val="center"/>
                </w:tcPr>
                <w:p w14:paraId="2FE08D1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38</w:t>
                  </w:r>
                </w:p>
              </w:tc>
              <w:tc>
                <w:tcPr>
                  <w:tcW w:w="1036" w:type="dxa"/>
                  <w:vAlign w:val="center"/>
                </w:tcPr>
                <w:p w14:paraId="2B9244D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40.33</w:t>
                  </w:r>
                </w:p>
              </w:tc>
              <w:tc>
                <w:tcPr>
                  <w:tcW w:w="680" w:type="dxa"/>
                  <w:vAlign w:val="center"/>
                </w:tcPr>
                <w:p w14:paraId="6D17A07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FE7F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55CEE8D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4F300C1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6457CB3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651D041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2F6D7CC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6C13016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0.82</w:t>
                  </w:r>
                </w:p>
              </w:tc>
              <w:tc>
                <w:tcPr>
                  <w:tcW w:w="871" w:type="dxa"/>
                  <w:vAlign w:val="center"/>
                </w:tcPr>
                <w:p w14:paraId="5F25F75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0.89</w:t>
                  </w:r>
                </w:p>
              </w:tc>
              <w:tc>
                <w:tcPr>
                  <w:tcW w:w="875" w:type="dxa"/>
                  <w:vAlign w:val="center"/>
                </w:tcPr>
                <w:p w14:paraId="1C6F517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0.80</w:t>
                  </w:r>
                </w:p>
              </w:tc>
              <w:tc>
                <w:tcPr>
                  <w:tcW w:w="1036" w:type="dxa"/>
                  <w:vAlign w:val="center"/>
                </w:tcPr>
                <w:p w14:paraId="2F2DE47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0.84</w:t>
                  </w:r>
                </w:p>
              </w:tc>
              <w:tc>
                <w:tcPr>
                  <w:tcW w:w="680" w:type="dxa"/>
                  <w:vAlign w:val="center"/>
                </w:tcPr>
                <w:p w14:paraId="768FAA0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0A70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5A8A35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79C04A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1C52DF4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TVOC</w:t>
                  </w:r>
                </w:p>
              </w:tc>
              <w:tc>
                <w:tcPr>
                  <w:tcW w:w="699" w:type="dxa"/>
                  <w:vAlign w:val="center"/>
                </w:tcPr>
                <w:p w14:paraId="18E6F9D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2E06CAA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7679EDE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871" w:type="dxa"/>
                  <w:vAlign w:val="center"/>
                </w:tcPr>
                <w:p w14:paraId="5C83CE7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26.0</w:t>
                  </w:r>
                </w:p>
              </w:tc>
              <w:tc>
                <w:tcPr>
                  <w:tcW w:w="875" w:type="dxa"/>
                  <w:vAlign w:val="center"/>
                </w:tcPr>
                <w:p w14:paraId="518DA5E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1036" w:type="dxa"/>
                  <w:vAlign w:val="center"/>
                </w:tcPr>
                <w:p w14:paraId="019AD9A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25.93</w:t>
                  </w:r>
                </w:p>
              </w:tc>
              <w:tc>
                <w:tcPr>
                  <w:tcW w:w="680" w:type="dxa"/>
                  <w:vAlign w:val="center"/>
                </w:tcPr>
                <w:p w14:paraId="46F979B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8525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0F06E07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4216467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35E32B2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3EE7DDF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6560538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18B9E8F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0.53</w:t>
                  </w:r>
                </w:p>
              </w:tc>
              <w:tc>
                <w:tcPr>
                  <w:tcW w:w="871" w:type="dxa"/>
                  <w:vAlign w:val="center"/>
                </w:tcPr>
                <w:p w14:paraId="08C82A4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0.54</w:t>
                  </w:r>
                </w:p>
              </w:tc>
              <w:tc>
                <w:tcPr>
                  <w:tcW w:w="875" w:type="dxa"/>
                  <w:vAlign w:val="center"/>
                </w:tcPr>
                <w:p w14:paraId="31E36A7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0.55</w:t>
                  </w:r>
                </w:p>
              </w:tc>
              <w:tc>
                <w:tcPr>
                  <w:tcW w:w="1036" w:type="dxa"/>
                  <w:vAlign w:val="center"/>
                </w:tcPr>
                <w:p w14:paraId="05FD9FB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0.54</w:t>
                  </w:r>
                </w:p>
              </w:tc>
              <w:tc>
                <w:tcPr>
                  <w:tcW w:w="680" w:type="dxa"/>
                  <w:vAlign w:val="center"/>
                </w:tcPr>
                <w:p w14:paraId="25EFFEA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20A27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5FD1428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814EE5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D8553B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苯</w:t>
                  </w:r>
                </w:p>
              </w:tc>
              <w:tc>
                <w:tcPr>
                  <w:tcW w:w="699" w:type="dxa"/>
                  <w:vAlign w:val="center"/>
                </w:tcPr>
                <w:p w14:paraId="75F7CC3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235C58F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0.614</w:t>
                  </w:r>
                </w:p>
              </w:tc>
              <w:tc>
                <w:tcPr>
                  <w:tcW w:w="871" w:type="dxa"/>
                  <w:vAlign w:val="center"/>
                </w:tcPr>
                <w:p w14:paraId="314271D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0.616</w:t>
                  </w:r>
                </w:p>
              </w:tc>
              <w:tc>
                <w:tcPr>
                  <w:tcW w:w="875" w:type="dxa"/>
                  <w:vAlign w:val="center"/>
                </w:tcPr>
                <w:p w14:paraId="0388B84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0.618</w:t>
                  </w:r>
                </w:p>
              </w:tc>
              <w:tc>
                <w:tcPr>
                  <w:tcW w:w="1036" w:type="dxa"/>
                  <w:vAlign w:val="center"/>
                </w:tcPr>
                <w:p w14:paraId="2609D0D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0.616</w:t>
                  </w:r>
                </w:p>
              </w:tc>
              <w:tc>
                <w:tcPr>
                  <w:tcW w:w="680" w:type="dxa"/>
                  <w:vAlign w:val="center"/>
                </w:tcPr>
                <w:p w14:paraId="063F101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322A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1482528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F0C84F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547B28C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42C7319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35876E1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871" w:type="dxa"/>
                  <w:vAlign w:val="center"/>
                </w:tcPr>
                <w:p w14:paraId="44F5B09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875" w:type="dxa"/>
                  <w:vAlign w:val="center"/>
                </w:tcPr>
                <w:p w14:paraId="373D870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1036" w:type="dxa"/>
                  <w:vAlign w:val="center"/>
                </w:tcPr>
                <w:p w14:paraId="6ABFCBA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680" w:type="dxa"/>
                  <w:vAlign w:val="center"/>
                </w:tcPr>
                <w:p w14:paraId="6F04B86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03DE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0109C1A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D674C6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6DBB17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甲苯</w:t>
                  </w:r>
                </w:p>
              </w:tc>
              <w:tc>
                <w:tcPr>
                  <w:tcW w:w="699" w:type="dxa"/>
                  <w:vAlign w:val="center"/>
                </w:tcPr>
                <w:p w14:paraId="7D22670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208F217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0.192</w:t>
                  </w:r>
                </w:p>
              </w:tc>
              <w:tc>
                <w:tcPr>
                  <w:tcW w:w="871" w:type="dxa"/>
                  <w:vAlign w:val="center"/>
                </w:tcPr>
                <w:p w14:paraId="311AA8F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0.200</w:t>
                  </w:r>
                </w:p>
              </w:tc>
              <w:tc>
                <w:tcPr>
                  <w:tcW w:w="875" w:type="dxa"/>
                  <w:vAlign w:val="center"/>
                </w:tcPr>
                <w:p w14:paraId="1B91454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0.200</w:t>
                  </w:r>
                </w:p>
              </w:tc>
              <w:tc>
                <w:tcPr>
                  <w:tcW w:w="1036" w:type="dxa"/>
                  <w:vAlign w:val="center"/>
                </w:tcPr>
                <w:p w14:paraId="61E4767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0.197</w:t>
                  </w:r>
                </w:p>
              </w:tc>
              <w:tc>
                <w:tcPr>
                  <w:tcW w:w="680" w:type="dxa"/>
                  <w:vAlign w:val="center"/>
                </w:tcPr>
                <w:p w14:paraId="21E874F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621A2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06A84DD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F6D2E2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4588375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7E37739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713BBC4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1" w:type="dxa"/>
                  <w:vAlign w:val="center"/>
                </w:tcPr>
                <w:p w14:paraId="02EEA7C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5" w:type="dxa"/>
                  <w:vAlign w:val="center"/>
                </w:tcPr>
                <w:p w14:paraId="1220A51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1036" w:type="dxa"/>
                  <w:vAlign w:val="center"/>
                </w:tcPr>
                <w:p w14:paraId="7F0A757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680" w:type="dxa"/>
                  <w:vAlign w:val="center"/>
                </w:tcPr>
                <w:p w14:paraId="2A35ADC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26D9A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47E35A7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47CB041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AB114A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二甲苯</w:t>
                  </w:r>
                </w:p>
              </w:tc>
              <w:tc>
                <w:tcPr>
                  <w:tcW w:w="699" w:type="dxa"/>
                  <w:vAlign w:val="center"/>
                </w:tcPr>
                <w:p w14:paraId="5E5FF1A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1DB26E5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64E0F5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2.05</w:t>
                  </w:r>
                </w:p>
              </w:tc>
              <w:tc>
                <w:tcPr>
                  <w:tcW w:w="871" w:type="dxa"/>
                  <w:vAlign w:val="center"/>
                </w:tcPr>
                <w:p w14:paraId="0FDD153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2.00</w:t>
                  </w:r>
                </w:p>
              </w:tc>
              <w:tc>
                <w:tcPr>
                  <w:tcW w:w="875" w:type="dxa"/>
                  <w:vAlign w:val="center"/>
                </w:tcPr>
                <w:p w14:paraId="4F71FE0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2.03</w:t>
                  </w:r>
                </w:p>
              </w:tc>
              <w:tc>
                <w:tcPr>
                  <w:tcW w:w="1036" w:type="dxa"/>
                  <w:vAlign w:val="center"/>
                </w:tcPr>
                <w:p w14:paraId="6BF80A2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2.03</w:t>
                  </w:r>
                </w:p>
              </w:tc>
              <w:tc>
                <w:tcPr>
                  <w:tcW w:w="680" w:type="dxa"/>
                  <w:vAlign w:val="center"/>
                </w:tcPr>
                <w:p w14:paraId="212EA94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7CA63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069B45D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7A6D12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0EA7DE9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38A9FFB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3F33A76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252420A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871" w:type="dxa"/>
                  <w:vAlign w:val="center"/>
                </w:tcPr>
                <w:p w14:paraId="04C6E95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875" w:type="dxa"/>
                  <w:vAlign w:val="center"/>
                </w:tcPr>
                <w:p w14:paraId="3172971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1036" w:type="dxa"/>
                  <w:vAlign w:val="center"/>
                </w:tcPr>
                <w:p w14:paraId="30603B8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680" w:type="dxa"/>
                  <w:vAlign w:val="center"/>
                </w:tcPr>
                <w:p w14:paraId="13F33C9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5889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exact"/>
                <w:jc w:val="center"/>
              </w:trPr>
              <w:tc>
                <w:tcPr>
                  <w:tcW w:w="846" w:type="dxa"/>
                  <w:vMerge w:val="continue"/>
                  <w:vAlign w:val="center"/>
                </w:tcPr>
                <w:p w14:paraId="02B8E1E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restart"/>
                  <w:vAlign w:val="center"/>
                </w:tcPr>
                <w:p w14:paraId="50E1C50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2021.11.15</w:t>
                  </w:r>
                </w:p>
              </w:tc>
              <w:tc>
                <w:tcPr>
                  <w:tcW w:w="1624" w:type="dxa"/>
                  <w:gridSpan w:val="2"/>
                  <w:vAlign w:val="center"/>
                </w:tcPr>
                <w:p w14:paraId="4BB5BF3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7FCCB90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21173</w:t>
                  </w:r>
                </w:p>
              </w:tc>
              <w:tc>
                <w:tcPr>
                  <w:tcW w:w="871" w:type="dxa"/>
                  <w:vAlign w:val="center"/>
                </w:tcPr>
                <w:p w14:paraId="12EF418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20065</w:t>
                  </w:r>
                </w:p>
              </w:tc>
              <w:tc>
                <w:tcPr>
                  <w:tcW w:w="875" w:type="dxa"/>
                  <w:vAlign w:val="center"/>
                </w:tcPr>
                <w:p w14:paraId="28DF65A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20782</w:t>
                  </w:r>
                </w:p>
              </w:tc>
              <w:tc>
                <w:tcPr>
                  <w:tcW w:w="1036" w:type="dxa"/>
                  <w:vAlign w:val="center"/>
                </w:tcPr>
                <w:p w14:paraId="60D4D9B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20673.33</w:t>
                  </w:r>
                </w:p>
              </w:tc>
              <w:tc>
                <w:tcPr>
                  <w:tcW w:w="680" w:type="dxa"/>
                  <w:vAlign w:val="center"/>
                </w:tcPr>
                <w:p w14:paraId="4994FB9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5000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exact"/>
                <w:jc w:val="center"/>
              </w:trPr>
              <w:tc>
                <w:tcPr>
                  <w:tcW w:w="846" w:type="dxa"/>
                  <w:vMerge w:val="continue"/>
                  <w:vAlign w:val="center"/>
                </w:tcPr>
                <w:p w14:paraId="3D722D1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363C95F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582C997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35B9822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090AF28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225537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45</w:t>
                  </w:r>
                </w:p>
              </w:tc>
              <w:tc>
                <w:tcPr>
                  <w:tcW w:w="871" w:type="dxa"/>
                  <w:vAlign w:val="center"/>
                </w:tcPr>
                <w:p w14:paraId="0CE0D1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33</w:t>
                  </w:r>
                </w:p>
              </w:tc>
              <w:tc>
                <w:tcPr>
                  <w:tcW w:w="875" w:type="dxa"/>
                  <w:vAlign w:val="center"/>
                </w:tcPr>
                <w:p w14:paraId="1B2714A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39</w:t>
                  </w:r>
                </w:p>
              </w:tc>
              <w:tc>
                <w:tcPr>
                  <w:tcW w:w="1036" w:type="dxa"/>
                  <w:vAlign w:val="center"/>
                </w:tcPr>
                <w:p w14:paraId="6F83D90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39.00</w:t>
                  </w:r>
                </w:p>
              </w:tc>
              <w:tc>
                <w:tcPr>
                  <w:tcW w:w="680" w:type="dxa"/>
                  <w:vAlign w:val="center"/>
                </w:tcPr>
                <w:p w14:paraId="2DDB635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C1D5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exact"/>
                <w:jc w:val="center"/>
              </w:trPr>
              <w:tc>
                <w:tcPr>
                  <w:tcW w:w="846" w:type="dxa"/>
                  <w:vMerge w:val="continue"/>
                  <w:vAlign w:val="center"/>
                </w:tcPr>
                <w:p w14:paraId="7E4C3F3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7D6C32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7E31849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43A2C3E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3759EC8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038C822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0.95</w:t>
                  </w:r>
                </w:p>
              </w:tc>
              <w:tc>
                <w:tcPr>
                  <w:tcW w:w="871" w:type="dxa"/>
                  <w:vAlign w:val="center"/>
                </w:tcPr>
                <w:p w14:paraId="3316D04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0.66</w:t>
                  </w:r>
                </w:p>
              </w:tc>
              <w:tc>
                <w:tcPr>
                  <w:tcW w:w="875" w:type="dxa"/>
                  <w:vAlign w:val="center"/>
                </w:tcPr>
                <w:p w14:paraId="24A3667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0.81</w:t>
                  </w:r>
                </w:p>
              </w:tc>
              <w:tc>
                <w:tcPr>
                  <w:tcW w:w="1036" w:type="dxa"/>
                  <w:vAlign w:val="center"/>
                </w:tcPr>
                <w:p w14:paraId="126C9D2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0.81</w:t>
                  </w:r>
                </w:p>
              </w:tc>
              <w:tc>
                <w:tcPr>
                  <w:tcW w:w="680" w:type="dxa"/>
                  <w:vAlign w:val="center"/>
                </w:tcPr>
                <w:p w14:paraId="3A93F03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500DA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exact"/>
                <w:jc w:val="center"/>
              </w:trPr>
              <w:tc>
                <w:tcPr>
                  <w:tcW w:w="846" w:type="dxa"/>
                  <w:vMerge w:val="continue"/>
                  <w:vAlign w:val="center"/>
                </w:tcPr>
                <w:p w14:paraId="1C44A2F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CABB85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4C20BED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TVOC</w:t>
                  </w:r>
                </w:p>
              </w:tc>
              <w:tc>
                <w:tcPr>
                  <w:tcW w:w="699" w:type="dxa"/>
                  <w:vAlign w:val="center"/>
                </w:tcPr>
                <w:p w14:paraId="013721B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5C3C209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0D93D1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871" w:type="dxa"/>
                  <w:vAlign w:val="center"/>
                </w:tcPr>
                <w:p w14:paraId="68422E5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875" w:type="dxa"/>
                  <w:vAlign w:val="center"/>
                </w:tcPr>
                <w:p w14:paraId="4F90C94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1036" w:type="dxa"/>
                  <w:vAlign w:val="center"/>
                </w:tcPr>
                <w:p w14:paraId="3903747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25.9</w:t>
                  </w:r>
                </w:p>
              </w:tc>
              <w:tc>
                <w:tcPr>
                  <w:tcW w:w="680" w:type="dxa"/>
                  <w:vAlign w:val="center"/>
                </w:tcPr>
                <w:p w14:paraId="1AEB969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EC19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exact"/>
                <w:jc w:val="center"/>
              </w:trPr>
              <w:tc>
                <w:tcPr>
                  <w:tcW w:w="846" w:type="dxa"/>
                  <w:vMerge w:val="continue"/>
                  <w:vAlign w:val="center"/>
                </w:tcPr>
                <w:p w14:paraId="654590E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2F82EA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61D6A4D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350992B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031EC5E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7D90769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0.55</w:t>
                  </w:r>
                </w:p>
              </w:tc>
              <w:tc>
                <w:tcPr>
                  <w:tcW w:w="871" w:type="dxa"/>
                  <w:vAlign w:val="center"/>
                </w:tcPr>
                <w:p w14:paraId="3A4CD62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w:t>
                  </w:r>
                </w:p>
              </w:tc>
              <w:tc>
                <w:tcPr>
                  <w:tcW w:w="875" w:type="dxa"/>
                  <w:vAlign w:val="center"/>
                </w:tcPr>
                <w:p w14:paraId="1D66395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0.54</w:t>
                  </w:r>
                </w:p>
              </w:tc>
              <w:tc>
                <w:tcPr>
                  <w:tcW w:w="1036" w:type="dxa"/>
                  <w:vAlign w:val="center"/>
                </w:tcPr>
                <w:p w14:paraId="5457DE3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0.54</w:t>
                  </w:r>
                </w:p>
              </w:tc>
              <w:tc>
                <w:tcPr>
                  <w:tcW w:w="680" w:type="dxa"/>
                  <w:vAlign w:val="center"/>
                </w:tcPr>
                <w:p w14:paraId="59961A4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D43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exact"/>
                <w:jc w:val="center"/>
              </w:trPr>
              <w:tc>
                <w:tcPr>
                  <w:tcW w:w="846" w:type="dxa"/>
                  <w:vMerge w:val="continue"/>
                  <w:vAlign w:val="center"/>
                </w:tcPr>
                <w:p w14:paraId="23984A3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6CB52F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FB2CEE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苯</w:t>
                  </w:r>
                </w:p>
              </w:tc>
              <w:tc>
                <w:tcPr>
                  <w:tcW w:w="699" w:type="dxa"/>
                  <w:vAlign w:val="center"/>
                </w:tcPr>
                <w:p w14:paraId="124D58E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7663FD3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0.620</w:t>
                  </w:r>
                </w:p>
              </w:tc>
              <w:tc>
                <w:tcPr>
                  <w:tcW w:w="871" w:type="dxa"/>
                  <w:vAlign w:val="center"/>
                </w:tcPr>
                <w:p w14:paraId="5755229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0.618</w:t>
                  </w:r>
                </w:p>
              </w:tc>
              <w:tc>
                <w:tcPr>
                  <w:tcW w:w="875" w:type="dxa"/>
                  <w:vAlign w:val="center"/>
                </w:tcPr>
                <w:p w14:paraId="0BBDDB6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0.618</w:t>
                  </w:r>
                </w:p>
              </w:tc>
              <w:tc>
                <w:tcPr>
                  <w:tcW w:w="1036" w:type="dxa"/>
                  <w:vAlign w:val="center"/>
                </w:tcPr>
                <w:p w14:paraId="2B42D6C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0.619</w:t>
                  </w:r>
                </w:p>
              </w:tc>
              <w:tc>
                <w:tcPr>
                  <w:tcW w:w="680" w:type="dxa"/>
                  <w:vAlign w:val="center"/>
                </w:tcPr>
                <w:p w14:paraId="3615E0D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7F4E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exact"/>
                <w:jc w:val="center"/>
              </w:trPr>
              <w:tc>
                <w:tcPr>
                  <w:tcW w:w="846" w:type="dxa"/>
                  <w:vMerge w:val="continue"/>
                  <w:vAlign w:val="center"/>
                </w:tcPr>
                <w:p w14:paraId="1FAE68D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3DD866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28C73F6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23F592F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2F52EB1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871" w:type="dxa"/>
                  <w:vAlign w:val="center"/>
                </w:tcPr>
                <w:p w14:paraId="1909B7C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875" w:type="dxa"/>
                  <w:vAlign w:val="center"/>
                </w:tcPr>
                <w:p w14:paraId="2AF0404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1036" w:type="dxa"/>
                  <w:vAlign w:val="center"/>
                </w:tcPr>
                <w:p w14:paraId="0954D35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0.013</w:t>
                  </w:r>
                </w:p>
              </w:tc>
              <w:tc>
                <w:tcPr>
                  <w:tcW w:w="680" w:type="dxa"/>
                  <w:vAlign w:val="center"/>
                </w:tcPr>
                <w:p w14:paraId="79F680C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85C0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exact"/>
                <w:jc w:val="center"/>
              </w:trPr>
              <w:tc>
                <w:tcPr>
                  <w:tcW w:w="846" w:type="dxa"/>
                  <w:vMerge w:val="continue"/>
                  <w:vAlign w:val="center"/>
                </w:tcPr>
                <w:p w14:paraId="035A1B4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3BE849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5D54277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甲苯</w:t>
                  </w:r>
                </w:p>
              </w:tc>
              <w:tc>
                <w:tcPr>
                  <w:tcW w:w="699" w:type="dxa"/>
                  <w:vAlign w:val="center"/>
                </w:tcPr>
                <w:p w14:paraId="6C1B15B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240DAC7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0.249</w:t>
                  </w:r>
                </w:p>
              </w:tc>
              <w:tc>
                <w:tcPr>
                  <w:tcW w:w="871" w:type="dxa"/>
                  <w:vAlign w:val="center"/>
                </w:tcPr>
                <w:p w14:paraId="6C46B10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0.201</w:t>
                  </w:r>
                </w:p>
              </w:tc>
              <w:tc>
                <w:tcPr>
                  <w:tcW w:w="875" w:type="dxa"/>
                  <w:vAlign w:val="center"/>
                </w:tcPr>
                <w:p w14:paraId="5D92068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0.249</w:t>
                  </w:r>
                </w:p>
              </w:tc>
              <w:tc>
                <w:tcPr>
                  <w:tcW w:w="1036" w:type="dxa"/>
                  <w:vAlign w:val="center"/>
                </w:tcPr>
                <w:p w14:paraId="0D41197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0.233</w:t>
                  </w:r>
                </w:p>
              </w:tc>
              <w:tc>
                <w:tcPr>
                  <w:tcW w:w="680" w:type="dxa"/>
                  <w:vAlign w:val="center"/>
                </w:tcPr>
                <w:p w14:paraId="6ECA0C7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205B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exact"/>
                <w:jc w:val="center"/>
              </w:trPr>
              <w:tc>
                <w:tcPr>
                  <w:tcW w:w="846" w:type="dxa"/>
                  <w:vMerge w:val="continue"/>
                  <w:vAlign w:val="center"/>
                </w:tcPr>
                <w:p w14:paraId="0B03E36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9F21EA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2DFEEF0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5E7B63E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65B78F9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0.005</w:t>
                  </w:r>
                </w:p>
              </w:tc>
              <w:tc>
                <w:tcPr>
                  <w:tcW w:w="871" w:type="dxa"/>
                  <w:vAlign w:val="center"/>
                </w:tcPr>
                <w:p w14:paraId="6C4303C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5" w:type="dxa"/>
                  <w:vAlign w:val="center"/>
                </w:tcPr>
                <w:p w14:paraId="744E284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0.005</w:t>
                  </w:r>
                </w:p>
              </w:tc>
              <w:tc>
                <w:tcPr>
                  <w:tcW w:w="1036" w:type="dxa"/>
                  <w:vAlign w:val="center"/>
                </w:tcPr>
                <w:p w14:paraId="06E9359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0.005</w:t>
                  </w:r>
                </w:p>
              </w:tc>
              <w:tc>
                <w:tcPr>
                  <w:tcW w:w="680" w:type="dxa"/>
                  <w:vAlign w:val="center"/>
                </w:tcPr>
                <w:p w14:paraId="6692734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3F41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exact"/>
                <w:jc w:val="center"/>
              </w:trPr>
              <w:tc>
                <w:tcPr>
                  <w:tcW w:w="846" w:type="dxa"/>
                  <w:vMerge w:val="continue"/>
                  <w:vAlign w:val="center"/>
                </w:tcPr>
                <w:p w14:paraId="6C3FFB5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47FB24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2E89BCE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二甲苯</w:t>
                  </w:r>
                </w:p>
              </w:tc>
              <w:tc>
                <w:tcPr>
                  <w:tcW w:w="699" w:type="dxa"/>
                  <w:vAlign w:val="center"/>
                </w:tcPr>
                <w:p w14:paraId="6B7186A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4ADB87A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570871E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2.11</w:t>
                  </w:r>
                </w:p>
              </w:tc>
              <w:tc>
                <w:tcPr>
                  <w:tcW w:w="871" w:type="dxa"/>
                  <w:vAlign w:val="center"/>
                </w:tcPr>
                <w:p w14:paraId="34C57DA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2.07</w:t>
                  </w:r>
                </w:p>
              </w:tc>
              <w:tc>
                <w:tcPr>
                  <w:tcW w:w="875" w:type="dxa"/>
                  <w:vAlign w:val="center"/>
                </w:tcPr>
                <w:p w14:paraId="1C495D1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2.04</w:t>
                  </w:r>
                </w:p>
              </w:tc>
              <w:tc>
                <w:tcPr>
                  <w:tcW w:w="1036" w:type="dxa"/>
                  <w:vAlign w:val="center"/>
                </w:tcPr>
                <w:p w14:paraId="447D0AF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2.07</w:t>
                  </w:r>
                </w:p>
              </w:tc>
              <w:tc>
                <w:tcPr>
                  <w:tcW w:w="680" w:type="dxa"/>
                  <w:vAlign w:val="center"/>
                </w:tcPr>
                <w:p w14:paraId="501E06C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2ED39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exact"/>
                <w:jc w:val="center"/>
              </w:trPr>
              <w:tc>
                <w:tcPr>
                  <w:tcW w:w="846" w:type="dxa"/>
                  <w:vMerge w:val="continue"/>
                  <w:vAlign w:val="center"/>
                </w:tcPr>
                <w:p w14:paraId="0A82D57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4BC0FF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037BC41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666C124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01C8B1C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0EC63B1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871" w:type="dxa"/>
                  <w:vAlign w:val="center"/>
                </w:tcPr>
                <w:p w14:paraId="09C8CC4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875" w:type="dxa"/>
                  <w:vAlign w:val="center"/>
                </w:tcPr>
                <w:p w14:paraId="7E0EACE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1036" w:type="dxa"/>
                  <w:vAlign w:val="center"/>
                </w:tcPr>
                <w:p w14:paraId="405E1D5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0.04</w:t>
                  </w:r>
                </w:p>
              </w:tc>
              <w:tc>
                <w:tcPr>
                  <w:tcW w:w="680" w:type="dxa"/>
                  <w:vAlign w:val="center"/>
                </w:tcPr>
                <w:p w14:paraId="19B3642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422B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restart"/>
                  <w:vAlign w:val="center"/>
                </w:tcPr>
                <w:p w14:paraId="69A79A3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喷漆房1#处理设施</w:t>
                  </w:r>
                </w:p>
                <w:p w14:paraId="0830378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出口</w:t>
                  </w:r>
                </w:p>
              </w:tc>
              <w:tc>
                <w:tcPr>
                  <w:tcW w:w="1175" w:type="dxa"/>
                  <w:vMerge w:val="restart"/>
                  <w:vAlign w:val="center"/>
                </w:tcPr>
                <w:p w14:paraId="3D2C640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2021.11.14</w:t>
                  </w:r>
                </w:p>
              </w:tc>
              <w:tc>
                <w:tcPr>
                  <w:tcW w:w="1624" w:type="dxa"/>
                  <w:gridSpan w:val="2"/>
                  <w:vAlign w:val="center"/>
                </w:tcPr>
                <w:p w14:paraId="607A1CE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6A9FBC4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22682</w:t>
                  </w:r>
                </w:p>
              </w:tc>
              <w:tc>
                <w:tcPr>
                  <w:tcW w:w="871" w:type="dxa"/>
                  <w:vAlign w:val="center"/>
                </w:tcPr>
                <w:p w14:paraId="292644C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22980</w:t>
                  </w:r>
                </w:p>
              </w:tc>
              <w:tc>
                <w:tcPr>
                  <w:tcW w:w="875" w:type="dxa"/>
                  <w:vAlign w:val="center"/>
                </w:tcPr>
                <w:p w14:paraId="78A210B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23341</w:t>
                  </w:r>
                </w:p>
              </w:tc>
              <w:tc>
                <w:tcPr>
                  <w:tcW w:w="1036" w:type="dxa"/>
                  <w:vAlign w:val="center"/>
                </w:tcPr>
                <w:p w14:paraId="35FF244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23001</w:t>
                  </w:r>
                </w:p>
              </w:tc>
              <w:tc>
                <w:tcPr>
                  <w:tcW w:w="680" w:type="dxa"/>
                  <w:vAlign w:val="center"/>
                </w:tcPr>
                <w:p w14:paraId="6A20AC9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62F2C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846" w:type="dxa"/>
                  <w:vMerge w:val="continue"/>
                  <w:vAlign w:val="center"/>
                </w:tcPr>
                <w:p w14:paraId="4F777DB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2E269C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3A48A41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1E06B0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53F4DCB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36EE85F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2.16</w:t>
                  </w:r>
                </w:p>
              </w:tc>
              <w:tc>
                <w:tcPr>
                  <w:tcW w:w="871" w:type="dxa"/>
                  <w:vAlign w:val="center"/>
                </w:tcPr>
                <w:p w14:paraId="230C1A2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2.21</w:t>
                  </w:r>
                </w:p>
              </w:tc>
              <w:tc>
                <w:tcPr>
                  <w:tcW w:w="875" w:type="dxa"/>
                  <w:vAlign w:val="center"/>
                </w:tcPr>
                <w:p w14:paraId="2946628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2.24</w:t>
                  </w:r>
                </w:p>
              </w:tc>
              <w:tc>
                <w:tcPr>
                  <w:tcW w:w="1036" w:type="dxa"/>
                  <w:vAlign w:val="center"/>
                </w:tcPr>
                <w:p w14:paraId="3021814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2.20</w:t>
                  </w:r>
                </w:p>
              </w:tc>
              <w:tc>
                <w:tcPr>
                  <w:tcW w:w="680" w:type="dxa"/>
                  <w:vAlign w:val="center"/>
                </w:tcPr>
                <w:p w14:paraId="16E5A14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120</w:t>
                  </w:r>
                </w:p>
              </w:tc>
            </w:tr>
            <w:tr w14:paraId="50542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exact"/>
                <w:jc w:val="center"/>
              </w:trPr>
              <w:tc>
                <w:tcPr>
                  <w:tcW w:w="846" w:type="dxa"/>
                  <w:vMerge w:val="continue"/>
                  <w:vAlign w:val="center"/>
                </w:tcPr>
                <w:p w14:paraId="0218BF5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3861AB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0A7E372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4B84AAE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08511C5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70485A4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871" w:type="dxa"/>
                  <w:vAlign w:val="center"/>
                </w:tcPr>
                <w:p w14:paraId="3EEB44C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875" w:type="dxa"/>
                  <w:vAlign w:val="center"/>
                </w:tcPr>
                <w:p w14:paraId="537D964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1036" w:type="dxa"/>
                  <w:vAlign w:val="center"/>
                </w:tcPr>
                <w:p w14:paraId="4C5DB45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680" w:type="dxa"/>
                  <w:vAlign w:val="center"/>
                </w:tcPr>
                <w:p w14:paraId="55ED462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3.5</w:t>
                  </w:r>
                </w:p>
              </w:tc>
            </w:tr>
            <w:tr w14:paraId="15735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exact"/>
                <w:jc w:val="center"/>
              </w:trPr>
              <w:tc>
                <w:tcPr>
                  <w:tcW w:w="846" w:type="dxa"/>
                  <w:vMerge w:val="continue"/>
                  <w:vAlign w:val="center"/>
                </w:tcPr>
                <w:p w14:paraId="74CE49F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85320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4EB7C5C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TVOC</w:t>
                  </w:r>
                </w:p>
              </w:tc>
              <w:tc>
                <w:tcPr>
                  <w:tcW w:w="699" w:type="dxa"/>
                  <w:vAlign w:val="center"/>
                </w:tcPr>
                <w:p w14:paraId="71BC33B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78E8342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0ACF8C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5.42</w:t>
                  </w:r>
                </w:p>
              </w:tc>
              <w:tc>
                <w:tcPr>
                  <w:tcW w:w="871" w:type="dxa"/>
                  <w:vAlign w:val="center"/>
                </w:tcPr>
                <w:p w14:paraId="17BF6C0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5.41</w:t>
                  </w:r>
                </w:p>
              </w:tc>
              <w:tc>
                <w:tcPr>
                  <w:tcW w:w="875" w:type="dxa"/>
                  <w:vAlign w:val="center"/>
                </w:tcPr>
                <w:p w14:paraId="6C24DB6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5.41</w:t>
                  </w:r>
                </w:p>
              </w:tc>
              <w:tc>
                <w:tcPr>
                  <w:tcW w:w="1036" w:type="dxa"/>
                  <w:vAlign w:val="center"/>
                </w:tcPr>
                <w:p w14:paraId="17E2093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5.41</w:t>
                  </w:r>
                </w:p>
              </w:tc>
              <w:tc>
                <w:tcPr>
                  <w:tcW w:w="680" w:type="dxa"/>
                  <w:vAlign w:val="center"/>
                </w:tcPr>
                <w:p w14:paraId="1A647E4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80</w:t>
                  </w:r>
                </w:p>
              </w:tc>
            </w:tr>
            <w:tr w14:paraId="79BBA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1A2B2AD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45D948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6021A58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1AF917C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0ED6C4D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3C62A7A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871" w:type="dxa"/>
                  <w:vAlign w:val="center"/>
                </w:tcPr>
                <w:p w14:paraId="0DC5373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875" w:type="dxa"/>
                  <w:vAlign w:val="center"/>
                </w:tcPr>
                <w:p w14:paraId="046BA3E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0.13</w:t>
                  </w:r>
                </w:p>
              </w:tc>
              <w:tc>
                <w:tcPr>
                  <w:tcW w:w="1036" w:type="dxa"/>
                  <w:vAlign w:val="center"/>
                </w:tcPr>
                <w:p w14:paraId="28077C1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680" w:type="dxa"/>
                  <w:vAlign w:val="center"/>
                </w:tcPr>
                <w:p w14:paraId="78EA5D3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24011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exact"/>
                <w:jc w:val="center"/>
              </w:trPr>
              <w:tc>
                <w:tcPr>
                  <w:tcW w:w="846" w:type="dxa"/>
                  <w:vMerge w:val="continue"/>
                  <w:vAlign w:val="center"/>
                </w:tcPr>
                <w:p w14:paraId="26922F0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782281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7D8651B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苯</w:t>
                  </w:r>
                </w:p>
              </w:tc>
              <w:tc>
                <w:tcPr>
                  <w:tcW w:w="699" w:type="dxa"/>
                  <w:vAlign w:val="center"/>
                </w:tcPr>
                <w:p w14:paraId="0C9182F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7192D36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0.528</w:t>
                  </w:r>
                </w:p>
              </w:tc>
              <w:tc>
                <w:tcPr>
                  <w:tcW w:w="871" w:type="dxa"/>
                  <w:vAlign w:val="center"/>
                </w:tcPr>
                <w:p w14:paraId="4528531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0.515</w:t>
                  </w:r>
                </w:p>
              </w:tc>
              <w:tc>
                <w:tcPr>
                  <w:tcW w:w="875" w:type="dxa"/>
                  <w:vAlign w:val="center"/>
                </w:tcPr>
                <w:p w14:paraId="7EA4645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0.529</w:t>
                  </w:r>
                </w:p>
              </w:tc>
              <w:tc>
                <w:tcPr>
                  <w:tcW w:w="1036" w:type="dxa"/>
                  <w:vAlign w:val="center"/>
                </w:tcPr>
                <w:p w14:paraId="767E1CD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0.524</w:t>
                  </w:r>
                </w:p>
              </w:tc>
              <w:tc>
                <w:tcPr>
                  <w:tcW w:w="680" w:type="dxa"/>
                  <w:vAlign w:val="center"/>
                </w:tcPr>
                <w:p w14:paraId="38F339F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w:t>
                  </w:r>
                </w:p>
              </w:tc>
            </w:tr>
            <w:tr w14:paraId="1DEC9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exact"/>
                <w:jc w:val="center"/>
              </w:trPr>
              <w:tc>
                <w:tcPr>
                  <w:tcW w:w="846" w:type="dxa"/>
                  <w:vMerge w:val="continue"/>
                  <w:vAlign w:val="center"/>
                </w:tcPr>
                <w:p w14:paraId="1479778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C31E5D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1C1FBF0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17F3434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6CC8584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871" w:type="dxa"/>
                  <w:vAlign w:val="center"/>
                </w:tcPr>
                <w:p w14:paraId="527E007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875" w:type="dxa"/>
                  <w:vAlign w:val="center"/>
                </w:tcPr>
                <w:p w14:paraId="4B7CBFC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1036" w:type="dxa"/>
                  <w:vAlign w:val="center"/>
                </w:tcPr>
                <w:p w14:paraId="16F4C4D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680" w:type="dxa"/>
                  <w:vAlign w:val="center"/>
                </w:tcPr>
                <w:p w14:paraId="54F3C0F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04A7C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exact"/>
                <w:jc w:val="center"/>
              </w:trPr>
              <w:tc>
                <w:tcPr>
                  <w:tcW w:w="846" w:type="dxa"/>
                  <w:vMerge w:val="continue"/>
                  <w:vAlign w:val="center"/>
                </w:tcPr>
                <w:p w14:paraId="4F5418A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363493A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007DB8A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甲苯</w:t>
                  </w:r>
                </w:p>
              </w:tc>
              <w:tc>
                <w:tcPr>
                  <w:tcW w:w="699" w:type="dxa"/>
                  <w:vAlign w:val="center"/>
                </w:tcPr>
                <w:p w14:paraId="21BF244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495CD47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0.188</w:t>
                  </w:r>
                </w:p>
              </w:tc>
              <w:tc>
                <w:tcPr>
                  <w:tcW w:w="871" w:type="dxa"/>
                  <w:vAlign w:val="center"/>
                </w:tcPr>
                <w:p w14:paraId="09245EA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0.188</w:t>
                  </w:r>
                </w:p>
              </w:tc>
              <w:tc>
                <w:tcPr>
                  <w:tcW w:w="875" w:type="dxa"/>
                  <w:vAlign w:val="center"/>
                </w:tcPr>
                <w:p w14:paraId="7D25AE0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0.187</w:t>
                  </w:r>
                </w:p>
              </w:tc>
              <w:tc>
                <w:tcPr>
                  <w:tcW w:w="1036" w:type="dxa"/>
                  <w:vAlign w:val="center"/>
                </w:tcPr>
                <w:p w14:paraId="3DC0C86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0.188</w:t>
                  </w:r>
                </w:p>
              </w:tc>
              <w:tc>
                <w:tcPr>
                  <w:tcW w:w="680" w:type="dxa"/>
                  <w:vAlign w:val="center"/>
                </w:tcPr>
                <w:p w14:paraId="48E2796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w:t>
                  </w:r>
                </w:p>
              </w:tc>
            </w:tr>
            <w:tr w14:paraId="012D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exact"/>
                <w:jc w:val="center"/>
              </w:trPr>
              <w:tc>
                <w:tcPr>
                  <w:tcW w:w="846" w:type="dxa"/>
                  <w:vMerge w:val="continue"/>
                  <w:vAlign w:val="center"/>
                </w:tcPr>
                <w:p w14:paraId="7DADA4D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9B0EEA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4366591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2824E5B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5DEE252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1" w:type="dxa"/>
                  <w:vAlign w:val="center"/>
                </w:tcPr>
                <w:p w14:paraId="1F508A6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5" w:type="dxa"/>
                  <w:vAlign w:val="center"/>
                </w:tcPr>
                <w:p w14:paraId="2F1FBD7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1036" w:type="dxa"/>
                  <w:vAlign w:val="center"/>
                </w:tcPr>
                <w:p w14:paraId="0DF5605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680" w:type="dxa"/>
                  <w:vAlign w:val="center"/>
                </w:tcPr>
                <w:p w14:paraId="06B68F0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57DB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exact"/>
                <w:jc w:val="center"/>
              </w:trPr>
              <w:tc>
                <w:tcPr>
                  <w:tcW w:w="846" w:type="dxa"/>
                  <w:vMerge w:val="continue"/>
                  <w:vAlign w:val="center"/>
                </w:tcPr>
                <w:p w14:paraId="4ECE8D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EAC3A1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7C5801F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二甲苯</w:t>
                  </w:r>
                </w:p>
              </w:tc>
              <w:tc>
                <w:tcPr>
                  <w:tcW w:w="699" w:type="dxa"/>
                  <w:vAlign w:val="center"/>
                </w:tcPr>
                <w:p w14:paraId="5099411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7A454BF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17C764B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0.94</w:t>
                  </w:r>
                </w:p>
              </w:tc>
              <w:tc>
                <w:tcPr>
                  <w:tcW w:w="871" w:type="dxa"/>
                  <w:vAlign w:val="center"/>
                </w:tcPr>
                <w:p w14:paraId="42B2F54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0.91</w:t>
                  </w:r>
                </w:p>
              </w:tc>
              <w:tc>
                <w:tcPr>
                  <w:tcW w:w="875" w:type="dxa"/>
                  <w:vAlign w:val="center"/>
                </w:tcPr>
                <w:p w14:paraId="1E71DF5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0.90</w:t>
                  </w:r>
                </w:p>
              </w:tc>
              <w:tc>
                <w:tcPr>
                  <w:tcW w:w="1036" w:type="dxa"/>
                  <w:vAlign w:val="center"/>
                </w:tcPr>
                <w:p w14:paraId="64A69A5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0.92</w:t>
                  </w:r>
                </w:p>
              </w:tc>
              <w:tc>
                <w:tcPr>
                  <w:tcW w:w="680" w:type="dxa"/>
                  <w:vAlign w:val="center"/>
                </w:tcPr>
                <w:p w14:paraId="727F3AA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17</w:t>
                  </w:r>
                </w:p>
              </w:tc>
            </w:tr>
            <w:tr w14:paraId="43D22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28683E3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A847F6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197DE3A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03AD382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22F81C3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2849023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1" w:type="dxa"/>
                  <w:vAlign w:val="center"/>
                </w:tcPr>
                <w:p w14:paraId="279210E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5" w:type="dxa"/>
                  <w:vAlign w:val="center"/>
                </w:tcPr>
                <w:p w14:paraId="4EAA5E2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1036" w:type="dxa"/>
                  <w:vAlign w:val="center"/>
                </w:tcPr>
                <w:p w14:paraId="44C7868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680" w:type="dxa"/>
                  <w:vAlign w:val="center"/>
                </w:tcPr>
                <w:p w14:paraId="7C9BC4D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21C9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exact"/>
                <w:jc w:val="center"/>
              </w:trPr>
              <w:tc>
                <w:tcPr>
                  <w:tcW w:w="846" w:type="dxa"/>
                  <w:vMerge w:val="continue"/>
                  <w:vAlign w:val="center"/>
                </w:tcPr>
                <w:p w14:paraId="304BB96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restart"/>
                  <w:vAlign w:val="center"/>
                </w:tcPr>
                <w:p w14:paraId="32B3129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2021.11.15</w:t>
                  </w:r>
                </w:p>
              </w:tc>
              <w:tc>
                <w:tcPr>
                  <w:tcW w:w="1624" w:type="dxa"/>
                  <w:gridSpan w:val="2"/>
                  <w:vAlign w:val="center"/>
                </w:tcPr>
                <w:p w14:paraId="7B6C6E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1243715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22788</w:t>
                  </w:r>
                </w:p>
              </w:tc>
              <w:tc>
                <w:tcPr>
                  <w:tcW w:w="871" w:type="dxa"/>
                  <w:vAlign w:val="center"/>
                </w:tcPr>
                <w:p w14:paraId="307D673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23106</w:t>
                  </w:r>
                </w:p>
              </w:tc>
              <w:tc>
                <w:tcPr>
                  <w:tcW w:w="875" w:type="dxa"/>
                  <w:vAlign w:val="center"/>
                </w:tcPr>
                <w:p w14:paraId="4F17CC6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23350</w:t>
                  </w:r>
                </w:p>
              </w:tc>
              <w:tc>
                <w:tcPr>
                  <w:tcW w:w="1036" w:type="dxa"/>
                  <w:vAlign w:val="center"/>
                </w:tcPr>
                <w:p w14:paraId="5E9924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23081.33</w:t>
                  </w:r>
                </w:p>
              </w:tc>
              <w:tc>
                <w:tcPr>
                  <w:tcW w:w="680" w:type="dxa"/>
                  <w:vAlign w:val="center"/>
                </w:tcPr>
                <w:p w14:paraId="417A9CB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608FA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exact"/>
                <w:jc w:val="center"/>
              </w:trPr>
              <w:tc>
                <w:tcPr>
                  <w:tcW w:w="846" w:type="dxa"/>
                  <w:vMerge w:val="continue"/>
                  <w:vAlign w:val="center"/>
                </w:tcPr>
                <w:p w14:paraId="7110190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29372B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0F568BD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62F8486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4EE6DBE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B4F374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2.25</w:t>
                  </w:r>
                </w:p>
              </w:tc>
              <w:tc>
                <w:tcPr>
                  <w:tcW w:w="871" w:type="dxa"/>
                  <w:vAlign w:val="center"/>
                </w:tcPr>
                <w:p w14:paraId="6A72ACE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2.18</w:t>
                  </w:r>
                </w:p>
              </w:tc>
              <w:tc>
                <w:tcPr>
                  <w:tcW w:w="875" w:type="dxa"/>
                  <w:vAlign w:val="center"/>
                </w:tcPr>
                <w:p w14:paraId="7852B37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2.27</w:t>
                  </w:r>
                </w:p>
              </w:tc>
              <w:tc>
                <w:tcPr>
                  <w:tcW w:w="1036" w:type="dxa"/>
                  <w:vAlign w:val="center"/>
                </w:tcPr>
                <w:p w14:paraId="1E9B4F9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2.23</w:t>
                  </w:r>
                </w:p>
              </w:tc>
              <w:tc>
                <w:tcPr>
                  <w:tcW w:w="680" w:type="dxa"/>
                  <w:vAlign w:val="center"/>
                </w:tcPr>
                <w:p w14:paraId="02FFD02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120</w:t>
                  </w:r>
                </w:p>
              </w:tc>
            </w:tr>
            <w:tr w14:paraId="37BB2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exact"/>
                <w:jc w:val="center"/>
              </w:trPr>
              <w:tc>
                <w:tcPr>
                  <w:tcW w:w="846" w:type="dxa"/>
                  <w:vMerge w:val="continue"/>
                  <w:vAlign w:val="center"/>
                </w:tcPr>
                <w:p w14:paraId="750E230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778F5E6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46F636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2CB41B4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1FC2DBD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52F1D76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871" w:type="dxa"/>
                  <w:vAlign w:val="center"/>
                </w:tcPr>
                <w:p w14:paraId="3ECC081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875" w:type="dxa"/>
                  <w:vAlign w:val="center"/>
                </w:tcPr>
                <w:p w14:paraId="35C757A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1036" w:type="dxa"/>
                  <w:vAlign w:val="center"/>
                </w:tcPr>
                <w:p w14:paraId="45F96D8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0.05</w:t>
                  </w:r>
                </w:p>
              </w:tc>
              <w:tc>
                <w:tcPr>
                  <w:tcW w:w="680" w:type="dxa"/>
                  <w:vAlign w:val="center"/>
                </w:tcPr>
                <w:p w14:paraId="4EE67C9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3.5</w:t>
                  </w:r>
                </w:p>
              </w:tc>
            </w:tr>
            <w:tr w14:paraId="03B6F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exact"/>
                <w:jc w:val="center"/>
              </w:trPr>
              <w:tc>
                <w:tcPr>
                  <w:tcW w:w="846" w:type="dxa"/>
                  <w:vMerge w:val="continue"/>
                  <w:vAlign w:val="center"/>
                </w:tcPr>
                <w:p w14:paraId="023B898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FE5167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5D63D13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TVOC</w:t>
                  </w:r>
                </w:p>
              </w:tc>
              <w:tc>
                <w:tcPr>
                  <w:tcW w:w="699" w:type="dxa"/>
                  <w:vAlign w:val="center"/>
                </w:tcPr>
                <w:p w14:paraId="25B3448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011906B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6C30630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5.40</w:t>
                  </w:r>
                </w:p>
              </w:tc>
              <w:tc>
                <w:tcPr>
                  <w:tcW w:w="871" w:type="dxa"/>
                  <w:vAlign w:val="center"/>
                </w:tcPr>
                <w:p w14:paraId="77FEEE0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5.40</w:t>
                  </w:r>
                </w:p>
              </w:tc>
              <w:tc>
                <w:tcPr>
                  <w:tcW w:w="875" w:type="dxa"/>
                  <w:vAlign w:val="center"/>
                </w:tcPr>
                <w:p w14:paraId="218C895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5.42</w:t>
                  </w:r>
                </w:p>
              </w:tc>
              <w:tc>
                <w:tcPr>
                  <w:tcW w:w="1036" w:type="dxa"/>
                  <w:vAlign w:val="center"/>
                </w:tcPr>
                <w:p w14:paraId="294F1BB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5.41</w:t>
                  </w:r>
                </w:p>
              </w:tc>
              <w:tc>
                <w:tcPr>
                  <w:tcW w:w="680" w:type="dxa"/>
                  <w:vAlign w:val="center"/>
                </w:tcPr>
                <w:p w14:paraId="606C6C9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80</w:t>
                  </w:r>
                </w:p>
              </w:tc>
            </w:tr>
            <w:tr w14:paraId="28FC5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exact"/>
                <w:jc w:val="center"/>
              </w:trPr>
              <w:tc>
                <w:tcPr>
                  <w:tcW w:w="846" w:type="dxa"/>
                  <w:vMerge w:val="continue"/>
                  <w:vAlign w:val="center"/>
                </w:tcPr>
                <w:p w14:paraId="42BB413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74C58B9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6D03877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5FB89FC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481CD46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457CE83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871" w:type="dxa"/>
                  <w:vAlign w:val="center"/>
                </w:tcPr>
                <w:p w14:paraId="21D77EA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875" w:type="dxa"/>
                  <w:vAlign w:val="center"/>
                </w:tcPr>
                <w:p w14:paraId="76D0924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1036" w:type="dxa"/>
                  <w:vAlign w:val="center"/>
                </w:tcPr>
                <w:p w14:paraId="0AF98F6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0.12</w:t>
                  </w:r>
                </w:p>
              </w:tc>
              <w:tc>
                <w:tcPr>
                  <w:tcW w:w="680" w:type="dxa"/>
                  <w:vAlign w:val="center"/>
                </w:tcPr>
                <w:p w14:paraId="1DC0E3E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46C1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3F7EBC6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1949FD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3B310B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苯</w:t>
                  </w:r>
                </w:p>
              </w:tc>
              <w:tc>
                <w:tcPr>
                  <w:tcW w:w="699" w:type="dxa"/>
                  <w:vAlign w:val="center"/>
                </w:tcPr>
                <w:p w14:paraId="56D484D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16B54F2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0.519</w:t>
                  </w:r>
                </w:p>
              </w:tc>
              <w:tc>
                <w:tcPr>
                  <w:tcW w:w="871" w:type="dxa"/>
                  <w:vAlign w:val="center"/>
                </w:tcPr>
                <w:p w14:paraId="554B9D4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0.529</w:t>
                  </w:r>
                </w:p>
              </w:tc>
              <w:tc>
                <w:tcPr>
                  <w:tcW w:w="875" w:type="dxa"/>
                  <w:vAlign w:val="center"/>
                </w:tcPr>
                <w:p w14:paraId="6EABC3A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0.528</w:t>
                  </w:r>
                </w:p>
              </w:tc>
              <w:tc>
                <w:tcPr>
                  <w:tcW w:w="1036" w:type="dxa"/>
                  <w:vAlign w:val="center"/>
                </w:tcPr>
                <w:p w14:paraId="754709C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0.525</w:t>
                  </w:r>
                </w:p>
              </w:tc>
              <w:tc>
                <w:tcPr>
                  <w:tcW w:w="680" w:type="dxa"/>
                  <w:vAlign w:val="center"/>
                </w:tcPr>
                <w:p w14:paraId="433F8B1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w:t>
                  </w:r>
                </w:p>
              </w:tc>
            </w:tr>
            <w:tr w14:paraId="54521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3CD18BE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9EAACD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2A817DB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29487C4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3AB4CEF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871" w:type="dxa"/>
                  <w:vAlign w:val="center"/>
                </w:tcPr>
                <w:p w14:paraId="48AC139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875" w:type="dxa"/>
                  <w:vAlign w:val="center"/>
                </w:tcPr>
                <w:p w14:paraId="081E7AF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1036" w:type="dxa"/>
                  <w:vAlign w:val="center"/>
                </w:tcPr>
                <w:p w14:paraId="69A7D49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0.012</w:t>
                  </w:r>
                </w:p>
              </w:tc>
              <w:tc>
                <w:tcPr>
                  <w:tcW w:w="680" w:type="dxa"/>
                  <w:vAlign w:val="center"/>
                </w:tcPr>
                <w:p w14:paraId="210872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27AE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6CB244C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2153C5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46A2969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甲苯</w:t>
                  </w:r>
                </w:p>
              </w:tc>
              <w:tc>
                <w:tcPr>
                  <w:tcW w:w="699" w:type="dxa"/>
                  <w:vAlign w:val="center"/>
                </w:tcPr>
                <w:p w14:paraId="1C34BE3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tc>
              <w:tc>
                <w:tcPr>
                  <w:tcW w:w="880" w:type="dxa"/>
                  <w:vAlign w:val="center"/>
                </w:tcPr>
                <w:p w14:paraId="13D1665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0.186</w:t>
                  </w:r>
                </w:p>
              </w:tc>
              <w:tc>
                <w:tcPr>
                  <w:tcW w:w="871" w:type="dxa"/>
                  <w:vAlign w:val="center"/>
                </w:tcPr>
                <w:p w14:paraId="2CEAD34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0.188</w:t>
                  </w:r>
                </w:p>
              </w:tc>
              <w:tc>
                <w:tcPr>
                  <w:tcW w:w="875" w:type="dxa"/>
                  <w:vAlign w:val="center"/>
                </w:tcPr>
                <w:p w14:paraId="72352C2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0.188</w:t>
                  </w:r>
                </w:p>
              </w:tc>
              <w:tc>
                <w:tcPr>
                  <w:tcW w:w="1036" w:type="dxa"/>
                  <w:vAlign w:val="center"/>
                </w:tcPr>
                <w:p w14:paraId="33E160C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0.187</w:t>
                  </w:r>
                </w:p>
              </w:tc>
              <w:tc>
                <w:tcPr>
                  <w:tcW w:w="680" w:type="dxa"/>
                  <w:vAlign w:val="center"/>
                </w:tcPr>
                <w:p w14:paraId="3F0F4B9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w:t>
                  </w:r>
                </w:p>
              </w:tc>
            </w:tr>
            <w:tr w14:paraId="384F7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75D11A4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8D7CF3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78A5618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5BB5FD8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tc>
              <w:tc>
                <w:tcPr>
                  <w:tcW w:w="880" w:type="dxa"/>
                  <w:vAlign w:val="center"/>
                </w:tcPr>
                <w:p w14:paraId="5101FBE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1" w:type="dxa"/>
                  <w:vAlign w:val="center"/>
                </w:tcPr>
                <w:p w14:paraId="52C05A5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875" w:type="dxa"/>
                  <w:vAlign w:val="center"/>
                </w:tcPr>
                <w:p w14:paraId="7218F49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1036" w:type="dxa"/>
                  <w:vAlign w:val="center"/>
                </w:tcPr>
                <w:p w14:paraId="74D800F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0.004</w:t>
                  </w:r>
                </w:p>
              </w:tc>
              <w:tc>
                <w:tcPr>
                  <w:tcW w:w="680" w:type="dxa"/>
                  <w:vAlign w:val="center"/>
                </w:tcPr>
                <w:p w14:paraId="03FFA56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AD9F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exact"/>
                <w:jc w:val="center"/>
              </w:trPr>
              <w:tc>
                <w:tcPr>
                  <w:tcW w:w="846" w:type="dxa"/>
                  <w:vMerge w:val="continue"/>
                  <w:vAlign w:val="center"/>
                </w:tcPr>
                <w:p w14:paraId="308A22D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1B63BC7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791FABA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二甲苯</w:t>
                  </w:r>
                </w:p>
              </w:tc>
              <w:tc>
                <w:tcPr>
                  <w:tcW w:w="699" w:type="dxa"/>
                  <w:vAlign w:val="center"/>
                </w:tcPr>
                <w:p w14:paraId="65AA566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604D045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31FC303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0.85</w:t>
                  </w:r>
                </w:p>
              </w:tc>
              <w:tc>
                <w:tcPr>
                  <w:tcW w:w="871" w:type="dxa"/>
                  <w:vAlign w:val="center"/>
                </w:tcPr>
                <w:p w14:paraId="7086A4D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0.90</w:t>
                  </w:r>
                </w:p>
              </w:tc>
              <w:tc>
                <w:tcPr>
                  <w:tcW w:w="875" w:type="dxa"/>
                  <w:vAlign w:val="center"/>
                </w:tcPr>
                <w:p w14:paraId="4EEDB12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0.86</w:t>
                  </w:r>
                </w:p>
              </w:tc>
              <w:tc>
                <w:tcPr>
                  <w:tcW w:w="1036" w:type="dxa"/>
                  <w:vAlign w:val="center"/>
                </w:tcPr>
                <w:p w14:paraId="2498C1A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0.87</w:t>
                  </w:r>
                </w:p>
              </w:tc>
              <w:tc>
                <w:tcPr>
                  <w:tcW w:w="680" w:type="dxa"/>
                  <w:vAlign w:val="center"/>
                </w:tcPr>
                <w:p w14:paraId="063FE9F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17</w:t>
                  </w:r>
                </w:p>
              </w:tc>
            </w:tr>
            <w:tr w14:paraId="24B7F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exact"/>
                <w:jc w:val="center"/>
              </w:trPr>
              <w:tc>
                <w:tcPr>
                  <w:tcW w:w="846" w:type="dxa"/>
                  <w:vMerge w:val="continue"/>
                  <w:vAlign w:val="center"/>
                </w:tcPr>
                <w:p w14:paraId="3E344C7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29C8807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6A91EA2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44B30A9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096715D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6D1621D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1" w:type="dxa"/>
                  <w:vAlign w:val="center"/>
                </w:tcPr>
                <w:p w14:paraId="274FDE3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5" w:type="dxa"/>
                  <w:vAlign w:val="center"/>
                </w:tcPr>
                <w:p w14:paraId="6B4DBE7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1036" w:type="dxa"/>
                  <w:vAlign w:val="center"/>
                </w:tcPr>
                <w:p w14:paraId="7237B41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680" w:type="dxa"/>
                  <w:vAlign w:val="center"/>
                </w:tcPr>
                <w:p w14:paraId="2BAEC84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59B4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restart"/>
                  <w:vAlign w:val="center"/>
                </w:tcPr>
                <w:p w14:paraId="759D353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喷砂房2#处理设施进口</w:t>
                  </w:r>
                </w:p>
              </w:tc>
              <w:tc>
                <w:tcPr>
                  <w:tcW w:w="1175" w:type="dxa"/>
                  <w:vMerge w:val="restart"/>
                  <w:vAlign w:val="center"/>
                </w:tcPr>
                <w:p w14:paraId="2089C3E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2021.11.14</w:t>
                  </w:r>
                </w:p>
              </w:tc>
              <w:tc>
                <w:tcPr>
                  <w:tcW w:w="1624" w:type="dxa"/>
                  <w:gridSpan w:val="2"/>
                  <w:vAlign w:val="center"/>
                </w:tcPr>
                <w:p w14:paraId="2A9C7A2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28F2958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8544</w:t>
                  </w:r>
                </w:p>
              </w:tc>
              <w:tc>
                <w:tcPr>
                  <w:tcW w:w="871" w:type="dxa"/>
                  <w:vAlign w:val="center"/>
                </w:tcPr>
                <w:p w14:paraId="3835980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8608</w:t>
                  </w:r>
                </w:p>
              </w:tc>
              <w:tc>
                <w:tcPr>
                  <w:tcW w:w="875" w:type="dxa"/>
                  <w:vAlign w:val="center"/>
                </w:tcPr>
                <w:p w14:paraId="4C1791F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8702</w:t>
                  </w:r>
                </w:p>
              </w:tc>
              <w:tc>
                <w:tcPr>
                  <w:tcW w:w="1036" w:type="dxa"/>
                  <w:vAlign w:val="center"/>
                </w:tcPr>
                <w:p w14:paraId="54C2CC8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8618</w:t>
                  </w:r>
                </w:p>
              </w:tc>
              <w:tc>
                <w:tcPr>
                  <w:tcW w:w="680" w:type="dxa"/>
                  <w:vAlign w:val="center"/>
                </w:tcPr>
                <w:p w14:paraId="1834E73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5FB2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exact"/>
                <w:jc w:val="center"/>
              </w:trPr>
              <w:tc>
                <w:tcPr>
                  <w:tcW w:w="846" w:type="dxa"/>
                  <w:vMerge w:val="continue"/>
                  <w:vAlign w:val="center"/>
                </w:tcPr>
                <w:p w14:paraId="7197441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1408BB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C2C165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191B7D8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1C28A50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E419BB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47</w:t>
                  </w:r>
                </w:p>
              </w:tc>
              <w:tc>
                <w:tcPr>
                  <w:tcW w:w="871" w:type="dxa"/>
                  <w:vAlign w:val="center"/>
                </w:tcPr>
                <w:p w14:paraId="63AB417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51</w:t>
                  </w:r>
                </w:p>
              </w:tc>
              <w:tc>
                <w:tcPr>
                  <w:tcW w:w="875" w:type="dxa"/>
                  <w:vAlign w:val="center"/>
                </w:tcPr>
                <w:p w14:paraId="651A196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51</w:t>
                  </w:r>
                </w:p>
              </w:tc>
              <w:tc>
                <w:tcPr>
                  <w:tcW w:w="1036" w:type="dxa"/>
                  <w:vAlign w:val="center"/>
                </w:tcPr>
                <w:p w14:paraId="7D7F871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49.67</w:t>
                  </w:r>
                </w:p>
              </w:tc>
              <w:tc>
                <w:tcPr>
                  <w:tcW w:w="680" w:type="dxa"/>
                  <w:vAlign w:val="center"/>
                </w:tcPr>
                <w:p w14:paraId="583A8C5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441D8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exact"/>
                <w:jc w:val="center"/>
              </w:trPr>
              <w:tc>
                <w:tcPr>
                  <w:tcW w:w="846" w:type="dxa"/>
                  <w:vMerge w:val="continue"/>
                  <w:vAlign w:val="center"/>
                </w:tcPr>
                <w:p w14:paraId="60F5546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00F679B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22DB4FF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67F2514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0E6DB9B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3FC5433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0.40</w:t>
                  </w:r>
                </w:p>
              </w:tc>
              <w:tc>
                <w:tcPr>
                  <w:tcW w:w="871" w:type="dxa"/>
                  <w:vAlign w:val="center"/>
                </w:tcPr>
                <w:p w14:paraId="69C3F28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0.44</w:t>
                  </w:r>
                </w:p>
              </w:tc>
              <w:tc>
                <w:tcPr>
                  <w:tcW w:w="875" w:type="dxa"/>
                  <w:vAlign w:val="center"/>
                </w:tcPr>
                <w:p w14:paraId="2BD65A0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0.44</w:t>
                  </w:r>
                </w:p>
              </w:tc>
              <w:tc>
                <w:tcPr>
                  <w:tcW w:w="1036" w:type="dxa"/>
                  <w:vAlign w:val="center"/>
                </w:tcPr>
                <w:p w14:paraId="4C4F288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0.43</w:t>
                  </w:r>
                </w:p>
              </w:tc>
              <w:tc>
                <w:tcPr>
                  <w:tcW w:w="680" w:type="dxa"/>
                  <w:vAlign w:val="center"/>
                </w:tcPr>
                <w:p w14:paraId="06FADCE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B758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75253ED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restart"/>
                  <w:vAlign w:val="center"/>
                </w:tcPr>
                <w:p w14:paraId="6F56319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2021.11.15</w:t>
                  </w:r>
                </w:p>
              </w:tc>
              <w:tc>
                <w:tcPr>
                  <w:tcW w:w="1624" w:type="dxa"/>
                  <w:gridSpan w:val="2"/>
                  <w:vAlign w:val="center"/>
                </w:tcPr>
                <w:p w14:paraId="4E77ACC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2D1F366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8759</w:t>
                  </w:r>
                </w:p>
              </w:tc>
              <w:tc>
                <w:tcPr>
                  <w:tcW w:w="871" w:type="dxa"/>
                  <w:vAlign w:val="center"/>
                </w:tcPr>
                <w:p w14:paraId="2AB6474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8695</w:t>
                  </w:r>
                </w:p>
              </w:tc>
              <w:tc>
                <w:tcPr>
                  <w:tcW w:w="875" w:type="dxa"/>
                  <w:vAlign w:val="center"/>
                </w:tcPr>
                <w:p w14:paraId="775B071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8862</w:t>
                  </w:r>
                </w:p>
              </w:tc>
              <w:tc>
                <w:tcPr>
                  <w:tcW w:w="1036" w:type="dxa"/>
                  <w:vAlign w:val="center"/>
                </w:tcPr>
                <w:p w14:paraId="46881A6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8772</w:t>
                  </w:r>
                </w:p>
              </w:tc>
              <w:tc>
                <w:tcPr>
                  <w:tcW w:w="680" w:type="dxa"/>
                  <w:vAlign w:val="center"/>
                </w:tcPr>
                <w:p w14:paraId="3A039EF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5281E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exact"/>
                <w:jc w:val="center"/>
              </w:trPr>
              <w:tc>
                <w:tcPr>
                  <w:tcW w:w="846" w:type="dxa"/>
                  <w:vMerge w:val="continue"/>
                  <w:vAlign w:val="center"/>
                </w:tcPr>
                <w:p w14:paraId="37EABBA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49F92DF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21DCFA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5DA3357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0890B6B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6420B65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53</w:t>
                  </w:r>
                </w:p>
              </w:tc>
              <w:tc>
                <w:tcPr>
                  <w:tcW w:w="871" w:type="dxa"/>
                  <w:vAlign w:val="center"/>
                </w:tcPr>
                <w:p w14:paraId="2AB924A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44</w:t>
                  </w:r>
                </w:p>
              </w:tc>
              <w:tc>
                <w:tcPr>
                  <w:tcW w:w="875" w:type="dxa"/>
                  <w:vAlign w:val="center"/>
                </w:tcPr>
                <w:p w14:paraId="7FFE274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49</w:t>
                  </w:r>
                </w:p>
              </w:tc>
              <w:tc>
                <w:tcPr>
                  <w:tcW w:w="1036" w:type="dxa"/>
                  <w:vAlign w:val="center"/>
                </w:tcPr>
                <w:p w14:paraId="185437A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48.67</w:t>
                  </w:r>
                </w:p>
              </w:tc>
              <w:tc>
                <w:tcPr>
                  <w:tcW w:w="680" w:type="dxa"/>
                  <w:vAlign w:val="center"/>
                </w:tcPr>
                <w:p w14:paraId="745BB77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7AB8B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exact"/>
                <w:jc w:val="center"/>
              </w:trPr>
              <w:tc>
                <w:tcPr>
                  <w:tcW w:w="846" w:type="dxa"/>
                  <w:vMerge w:val="continue"/>
                  <w:vAlign w:val="center"/>
                </w:tcPr>
                <w:p w14:paraId="5E68A85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DADC8A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51B0E27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31DF900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6D29E79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09FF5AC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0.46</w:t>
                  </w:r>
                </w:p>
              </w:tc>
              <w:tc>
                <w:tcPr>
                  <w:tcW w:w="871" w:type="dxa"/>
                  <w:vAlign w:val="center"/>
                </w:tcPr>
                <w:p w14:paraId="6D323D3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0.38</w:t>
                  </w:r>
                </w:p>
              </w:tc>
              <w:tc>
                <w:tcPr>
                  <w:tcW w:w="875" w:type="dxa"/>
                  <w:vAlign w:val="center"/>
                </w:tcPr>
                <w:p w14:paraId="3632C43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0.43</w:t>
                  </w:r>
                </w:p>
              </w:tc>
              <w:tc>
                <w:tcPr>
                  <w:tcW w:w="1036" w:type="dxa"/>
                  <w:vAlign w:val="center"/>
                </w:tcPr>
                <w:p w14:paraId="24CB6DD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40.42</w:t>
                  </w:r>
                </w:p>
              </w:tc>
              <w:tc>
                <w:tcPr>
                  <w:tcW w:w="680" w:type="dxa"/>
                  <w:vAlign w:val="center"/>
                </w:tcPr>
                <w:p w14:paraId="69F7015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66DAF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restart"/>
                  <w:vAlign w:val="center"/>
                </w:tcPr>
                <w:p w14:paraId="291828F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喷砂房2#处理设施出口</w:t>
                  </w:r>
                </w:p>
              </w:tc>
              <w:tc>
                <w:tcPr>
                  <w:tcW w:w="1175" w:type="dxa"/>
                  <w:vMerge w:val="restart"/>
                  <w:vAlign w:val="center"/>
                </w:tcPr>
                <w:p w14:paraId="40BFC8D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2021.11.14</w:t>
                  </w:r>
                </w:p>
              </w:tc>
              <w:tc>
                <w:tcPr>
                  <w:tcW w:w="1624" w:type="dxa"/>
                  <w:gridSpan w:val="2"/>
                  <w:vAlign w:val="center"/>
                </w:tcPr>
                <w:p w14:paraId="530127E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36DFCDE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9521</w:t>
                  </w:r>
                </w:p>
              </w:tc>
              <w:tc>
                <w:tcPr>
                  <w:tcW w:w="871" w:type="dxa"/>
                  <w:vAlign w:val="center"/>
                </w:tcPr>
                <w:p w14:paraId="2075478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9569</w:t>
                  </w:r>
                </w:p>
              </w:tc>
              <w:tc>
                <w:tcPr>
                  <w:tcW w:w="875" w:type="dxa"/>
                  <w:vAlign w:val="center"/>
                </w:tcPr>
                <w:p w14:paraId="2F4414F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9374</w:t>
                  </w:r>
                </w:p>
              </w:tc>
              <w:tc>
                <w:tcPr>
                  <w:tcW w:w="1036" w:type="dxa"/>
                  <w:vAlign w:val="center"/>
                </w:tcPr>
                <w:p w14:paraId="146C9B3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9488</w:t>
                  </w:r>
                </w:p>
              </w:tc>
              <w:tc>
                <w:tcPr>
                  <w:tcW w:w="680" w:type="dxa"/>
                  <w:vAlign w:val="center"/>
                </w:tcPr>
                <w:p w14:paraId="552A291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38701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618B0ED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49BC231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40C6979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23DF0DC9">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w:t>
                  </w:r>
                </w:p>
                <w:p w14:paraId="35A6046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03B4F96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2.30</w:t>
                  </w:r>
                </w:p>
              </w:tc>
              <w:tc>
                <w:tcPr>
                  <w:tcW w:w="871" w:type="dxa"/>
                  <w:vAlign w:val="center"/>
                </w:tcPr>
                <w:p w14:paraId="67C41E1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2.28</w:t>
                  </w:r>
                </w:p>
              </w:tc>
              <w:tc>
                <w:tcPr>
                  <w:tcW w:w="875" w:type="dxa"/>
                  <w:vAlign w:val="center"/>
                </w:tcPr>
                <w:p w14:paraId="785C0A6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2.22</w:t>
                  </w:r>
                </w:p>
              </w:tc>
              <w:tc>
                <w:tcPr>
                  <w:tcW w:w="1036" w:type="dxa"/>
                  <w:vAlign w:val="center"/>
                </w:tcPr>
                <w:p w14:paraId="351A093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2.27</w:t>
                  </w:r>
                </w:p>
              </w:tc>
              <w:tc>
                <w:tcPr>
                  <w:tcW w:w="680" w:type="dxa"/>
                  <w:vAlign w:val="center"/>
                </w:tcPr>
                <w:p w14:paraId="23D55FD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120</w:t>
                  </w:r>
                </w:p>
              </w:tc>
            </w:tr>
            <w:tr w14:paraId="284A1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5F9616C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5CD9A9D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3A9F8A5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61B17BD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w:t>
                  </w:r>
                </w:p>
                <w:p w14:paraId="4FB1DE24">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66EF718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1" w:type="dxa"/>
                  <w:vAlign w:val="center"/>
                </w:tcPr>
                <w:p w14:paraId="21899E20">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5" w:type="dxa"/>
                  <w:vAlign w:val="center"/>
                </w:tcPr>
                <w:p w14:paraId="1208F08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1036" w:type="dxa"/>
                  <w:vAlign w:val="center"/>
                </w:tcPr>
                <w:p w14:paraId="0FA31E6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680" w:type="dxa"/>
                  <w:vAlign w:val="center"/>
                </w:tcPr>
                <w:p w14:paraId="75A725F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3.5</w:t>
                  </w:r>
                </w:p>
              </w:tc>
            </w:tr>
            <w:tr w14:paraId="23027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0ED483D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restart"/>
                  <w:vAlign w:val="center"/>
                </w:tcPr>
                <w:p w14:paraId="5C5C3A1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2021.11.15</w:t>
                  </w:r>
                </w:p>
              </w:tc>
              <w:tc>
                <w:tcPr>
                  <w:tcW w:w="1624" w:type="dxa"/>
                  <w:gridSpan w:val="2"/>
                  <w:vAlign w:val="center"/>
                </w:tcPr>
                <w:p w14:paraId="725399B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标干风量（Nm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/h）</w:t>
                  </w:r>
                </w:p>
              </w:tc>
              <w:tc>
                <w:tcPr>
                  <w:tcW w:w="880" w:type="dxa"/>
                  <w:vAlign w:val="center"/>
                </w:tcPr>
                <w:p w14:paraId="58266AA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9735</w:t>
                  </w:r>
                </w:p>
              </w:tc>
              <w:tc>
                <w:tcPr>
                  <w:tcW w:w="871" w:type="dxa"/>
                  <w:vAlign w:val="center"/>
                </w:tcPr>
                <w:p w14:paraId="114A2EF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9897</w:t>
                  </w:r>
                </w:p>
              </w:tc>
              <w:tc>
                <w:tcPr>
                  <w:tcW w:w="875" w:type="dxa"/>
                  <w:vAlign w:val="center"/>
                </w:tcPr>
                <w:p w14:paraId="6AFA934C">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9839</w:t>
                  </w:r>
                </w:p>
              </w:tc>
              <w:tc>
                <w:tcPr>
                  <w:tcW w:w="1036" w:type="dxa"/>
                  <w:vAlign w:val="center"/>
                </w:tcPr>
                <w:p w14:paraId="6CC6FD4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9823.67</w:t>
                  </w:r>
                </w:p>
              </w:tc>
              <w:tc>
                <w:tcPr>
                  <w:tcW w:w="680" w:type="dxa"/>
                  <w:vAlign w:val="center"/>
                </w:tcPr>
                <w:p w14:paraId="650517F7">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c>
            </w:tr>
            <w:tr w14:paraId="1ED2F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exact"/>
                <w:jc w:val="center"/>
              </w:trPr>
              <w:tc>
                <w:tcPr>
                  <w:tcW w:w="846" w:type="dxa"/>
                  <w:vMerge w:val="continue"/>
                  <w:vAlign w:val="center"/>
                </w:tcPr>
                <w:p w14:paraId="42B3D9B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3A21104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restart"/>
                  <w:vAlign w:val="center"/>
                </w:tcPr>
                <w:p w14:paraId="65325A2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颗粒物</w:t>
                  </w:r>
                </w:p>
              </w:tc>
              <w:tc>
                <w:tcPr>
                  <w:tcW w:w="699" w:type="dxa"/>
                  <w:vAlign w:val="center"/>
                </w:tcPr>
                <w:p w14:paraId="449048B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实测浓度</w:t>
                  </w:r>
                </w:p>
                <w:p w14:paraId="15B5A74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浓度</w:t>
                  </w:r>
                </w:p>
              </w:tc>
              <w:tc>
                <w:tcPr>
                  <w:tcW w:w="880" w:type="dxa"/>
                  <w:vAlign w:val="center"/>
                </w:tcPr>
                <w:p w14:paraId="6DE54C5A">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2.12</w:t>
                  </w:r>
                </w:p>
              </w:tc>
              <w:tc>
                <w:tcPr>
                  <w:tcW w:w="871" w:type="dxa"/>
                  <w:vAlign w:val="center"/>
                </w:tcPr>
                <w:p w14:paraId="519BE488">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2.29</w:t>
                  </w:r>
                </w:p>
              </w:tc>
              <w:tc>
                <w:tcPr>
                  <w:tcW w:w="875" w:type="dxa"/>
                  <w:vAlign w:val="center"/>
                </w:tcPr>
                <w:p w14:paraId="407C2123">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2.26</w:t>
                  </w:r>
                </w:p>
              </w:tc>
              <w:tc>
                <w:tcPr>
                  <w:tcW w:w="1036" w:type="dxa"/>
                  <w:vAlign w:val="center"/>
                </w:tcPr>
                <w:p w14:paraId="7AC0AF4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2.22</w:t>
                  </w:r>
                </w:p>
              </w:tc>
              <w:tc>
                <w:tcPr>
                  <w:tcW w:w="680" w:type="dxa"/>
                  <w:vAlign w:val="center"/>
                </w:tcPr>
                <w:p w14:paraId="2E0114E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120</w:t>
                  </w:r>
                </w:p>
              </w:tc>
            </w:tr>
            <w:tr w14:paraId="5C79D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exact"/>
                <w:jc w:val="center"/>
              </w:trPr>
              <w:tc>
                <w:tcPr>
                  <w:tcW w:w="846" w:type="dxa"/>
                  <w:vMerge w:val="continue"/>
                  <w:vAlign w:val="center"/>
                </w:tcPr>
                <w:p w14:paraId="308FFCF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1175" w:type="dxa"/>
                  <w:vMerge w:val="continue"/>
                  <w:vAlign w:val="center"/>
                </w:tcPr>
                <w:p w14:paraId="63A695A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925" w:type="dxa"/>
                  <w:vMerge w:val="continue"/>
                  <w:vAlign w:val="center"/>
                </w:tcPr>
                <w:p w14:paraId="1A2FA81D">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p>
              </w:tc>
              <w:tc>
                <w:tcPr>
                  <w:tcW w:w="699" w:type="dxa"/>
                  <w:vAlign w:val="center"/>
                </w:tcPr>
                <w:p w14:paraId="3FE5BEA6">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排放速率</w:t>
                  </w:r>
                </w:p>
                <w:p w14:paraId="234E8032">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速率</w:t>
                  </w:r>
                </w:p>
              </w:tc>
              <w:tc>
                <w:tcPr>
                  <w:tcW w:w="880" w:type="dxa"/>
                  <w:vAlign w:val="center"/>
                </w:tcPr>
                <w:p w14:paraId="2CA6E735">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1" w:type="dxa"/>
                  <w:vAlign w:val="center"/>
                </w:tcPr>
                <w:p w14:paraId="0F4BE48E">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875" w:type="dxa"/>
                  <w:vAlign w:val="center"/>
                </w:tcPr>
                <w:p w14:paraId="38D459AF">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1036" w:type="dxa"/>
                  <w:vAlign w:val="center"/>
                </w:tcPr>
                <w:p w14:paraId="00D96281">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0.02</w:t>
                  </w:r>
                </w:p>
              </w:tc>
              <w:tc>
                <w:tcPr>
                  <w:tcW w:w="680" w:type="dxa"/>
                  <w:vAlign w:val="center"/>
                </w:tcPr>
                <w:p w14:paraId="01B3D77B">
                  <w:pPr>
                    <w:pStyle w:val="95"/>
                    <w:keepNext w:val="0"/>
                    <w:keepLines w:val="0"/>
                    <w:pageBreakBefore w:val="0"/>
                    <w:widowControl/>
                    <w:kinsoku/>
                    <w:wordWrap/>
                    <w:overflowPunct/>
                    <w:topLinePunct w:val="0"/>
                    <w:autoSpaceDE/>
                    <w:autoSpaceDN/>
                    <w:bidi w:val="0"/>
                    <w:adjustRightInd w:val="0"/>
                    <w:snapToGrid w:val="0"/>
                    <w:spacing w:before="0" w:after="0" w:line="240" w:lineRule="auto"/>
                    <w:ind w:left="-105" w:leftChars="-50" w:right="-105" w:rightChars="-50"/>
                    <w:jc w:val="center"/>
                    <w:textAlignment w:val="baseline"/>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3.5</w:t>
                  </w:r>
                </w:p>
              </w:tc>
            </w:tr>
          </w:tbl>
          <w:p w14:paraId="33D4D63C">
            <w:pPr>
              <w:snapToGrid w:val="0"/>
              <w:spacing w:line="360" w:lineRule="auto"/>
              <w:ind w:firstLine="480" w:firstLineChars="200"/>
              <w:rPr>
                <w:rFonts w:hint="default" w:ascii="Times New Roman" w:hAnsi="Times New Roman" w:cs="Times New Roman"/>
                <w:color w:val="000000" w:themeColor="text1"/>
                <w:sz w:val="24"/>
                <w:highlight w:val="none"/>
                <w:u w:val="single" w:color="auto"/>
                <w14:textFill>
                  <w14:solidFill>
                    <w14:schemeClr w14:val="tx1"/>
                  </w14:solidFill>
                </w14:textFill>
              </w:rPr>
            </w:pPr>
            <w:r>
              <w:rPr>
                <w:rFonts w:hint="default" w:ascii="Times New Roman" w:hAnsi="Times New Roman" w:cs="Times New Roman"/>
                <w:color w:val="000000" w:themeColor="text1"/>
                <w:sz w:val="24"/>
                <w:highlight w:val="none"/>
                <w:u w:val="single" w:color="auto"/>
                <w14:textFill>
                  <w14:solidFill>
                    <w14:schemeClr w14:val="tx1"/>
                  </w14:solidFill>
                </w14:textFill>
              </w:rPr>
              <w:t>由</w:t>
            </w:r>
            <w:r>
              <w:rPr>
                <w:rFonts w:hint="default" w:ascii="Times New Roman" w:hAnsi="Times New Roman" w:cs="Times New Roman"/>
                <w:color w:val="000000" w:themeColor="text1"/>
                <w:sz w:val="24"/>
                <w:highlight w:val="none"/>
                <w:u w:val="single" w:color="auto"/>
                <w:lang w:val="en-US" w:eastAsia="zh-CN"/>
                <w14:textFill>
                  <w14:solidFill>
                    <w14:schemeClr w14:val="tx1"/>
                  </w14:solidFill>
                </w14:textFill>
              </w:rPr>
              <w:t>上</w:t>
            </w:r>
            <w:r>
              <w:rPr>
                <w:rFonts w:hint="default" w:ascii="Times New Roman" w:hAnsi="Times New Roman" w:cs="Times New Roman"/>
                <w:color w:val="000000" w:themeColor="text1"/>
                <w:sz w:val="24"/>
                <w:highlight w:val="none"/>
                <w:u w:val="single" w:color="auto"/>
                <w14:textFill>
                  <w14:solidFill>
                    <w14:schemeClr w14:val="tx1"/>
                  </w14:solidFill>
                </w14:textFill>
              </w:rPr>
              <w:t>表监测结果可知：颗粒物的排放浓度符合《大气污染物综合排放标准》（GB16297-1996）表2中二级标准。经过计算，喷漆房1#处理设施颗粒物的处理效率为93.8%。喷砂房2#处理设施颗粒物的处理效率为94.92%。</w:t>
            </w:r>
          </w:p>
          <w:p w14:paraId="6D77158D">
            <w:pPr>
              <w:spacing w:line="360" w:lineRule="auto"/>
              <w:ind w:firstLine="480" w:firstLineChars="200"/>
              <w:rPr>
                <w:rFonts w:hint="default" w:ascii="Times New Roman" w:hAnsi="Times New Roman" w:cs="Times New Roman"/>
                <w:color w:val="000000" w:themeColor="text1"/>
                <w:sz w:val="24"/>
                <w:highlight w:val="none"/>
                <w:u w:val="single" w:color="auto"/>
                <w14:textFill>
                  <w14:solidFill>
                    <w14:schemeClr w14:val="tx1"/>
                  </w14:solidFill>
                </w14:textFill>
              </w:rPr>
            </w:pPr>
            <w:r>
              <w:rPr>
                <w:rFonts w:hint="default" w:ascii="Times New Roman" w:hAnsi="Times New Roman" w:cs="Times New Roman"/>
                <w:color w:val="000000" w:themeColor="text1"/>
                <w:sz w:val="24"/>
                <w:highlight w:val="none"/>
                <w:u w:val="single" w:color="auto"/>
                <w14:textFill>
                  <w14:solidFill>
                    <w14:schemeClr w14:val="tx1"/>
                  </w14:solidFill>
                </w14:textFill>
              </w:rPr>
              <w:t>VOCs、苯、甲苯、二甲苯的排放浓度符合《（湖南省）表面涂装（汽车制造及维修）挥发性有机物、镍排放标准》；经过计算，喷漆房1#处理设施VOCs、苯、甲苯、二甲苯的处理效率分别为76.76%、5.54%、2.8%、51.22%。</w:t>
            </w:r>
          </w:p>
          <w:p w14:paraId="5717E483">
            <w:pPr>
              <w:pStyle w:val="73"/>
              <w:rPr>
                <w:rFonts w:hint="default" w:ascii="Times New Roman" w:hAnsi="Times New Roman" w:cs="Times New Roman"/>
                <w:color w:val="000000" w:themeColor="text1"/>
                <w:sz w:val="21"/>
                <w:szCs w:val="21"/>
                <w:highlight w:val="none"/>
                <w:u w:val="single" w:color="auto"/>
                <w14:textFill>
                  <w14:solidFill>
                    <w14:schemeClr w14:val="tx1"/>
                  </w14:solidFill>
                </w14:textFill>
              </w:rPr>
            </w:pPr>
            <w:r>
              <w:rPr>
                <w:rFonts w:hint="default" w:ascii="Times New Roman" w:hAnsi="Times New Roman" w:cs="Times New Roman"/>
                <w:color w:val="000000" w:themeColor="text1"/>
                <w:sz w:val="21"/>
                <w:szCs w:val="21"/>
                <w:highlight w:val="none"/>
                <w:u w:val="single" w:color="auto"/>
                <w14:textFill>
                  <w14:solidFill>
                    <w14:schemeClr w14:val="tx1"/>
                  </w14:solidFill>
                </w14:textFill>
              </w:rPr>
              <w:t>表2-1</w:t>
            </w:r>
            <w:r>
              <w:rPr>
                <w:rFonts w:hint="default" w:ascii="Times New Roman" w:hAnsi="Times New Roman" w:cs="Times New Roman"/>
                <w:color w:val="000000" w:themeColor="text1"/>
                <w:sz w:val="21"/>
                <w:szCs w:val="21"/>
                <w:highlight w:val="none"/>
                <w:u w:val="single" w:color="auto"/>
                <w:lang w:val="en-US" w:eastAsia="zh-CN"/>
                <w14:textFill>
                  <w14:solidFill>
                    <w14:schemeClr w14:val="tx1"/>
                  </w14:solidFill>
                </w14:textFill>
              </w:rPr>
              <w:t>7</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 xml:space="preserve"> 项目无组织废气监测结果（单位：mg/m</w:t>
            </w:r>
            <w:r>
              <w:rPr>
                <w:rFonts w:hint="default" w:ascii="Times New Roman" w:hAnsi="Times New Roman" w:cs="Times New Roman"/>
                <w:color w:val="000000" w:themeColor="text1"/>
                <w:sz w:val="2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u w:val="single" w:color="auto"/>
                <w14:textFill>
                  <w14:solidFill>
                    <w14:schemeClr w14:val="tx1"/>
                  </w14:solidFill>
                </w14:textFill>
              </w:rPr>
              <w:t>）</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416"/>
              <w:gridCol w:w="772"/>
              <w:gridCol w:w="774"/>
              <w:gridCol w:w="772"/>
              <w:gridCol w:w="774"/>
              <w:gridCol w:w="774"/>
              <w:gridCol w:w="699"/>
              <w:gridCol w:w="632"/>
              <w:gridCol w:w="534"/>
            </w:tblGrid>
            <w:tr w14:paraId="0105D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shd w:val="clear" w:color="auto" w:fill="auto"/>
                  <w:vAlign w:val="center"/>
                </w:tcPr>
                <w:p w14:paraId="073A734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采样</w:t>
                  </w:r>
                </w:p>
                <w:p w14:paraId="5AB9B4C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日期</w:t>
                  </w:r>
                </w:p>
              </w:tc>
              <w:tc>
                <w:tcPr>
                  <w:tcW w:w="845" w:type="pct"/>
                  <w:vMerge w:val="restart"/>
                  <w:shd w:val="clear" w:color="auto" w:fill="auto"/>
                  <w:vAlign w:val="center"/>
                </w:tcPr>
                <w:p w14:paraId="11384C9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检测项目</w:t>
                  </w:r>
                </w:p>
              </w:tc>
              <w:tc>
                <w:tcPr>
                  <w:tcW w:w="2308" w:type="pct"/>
                  <w:gridSpan w:val="5"/>
                  <w:shd w:val="clear" w:color="auto" w:fill="auto"/>
                  <w:vAlign w:val="center"/>
                </w:tcPr>
                <w:p w14:paraId="5799F95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检测结果（mg/m3）</w:t>
                  </w:r>
                </w:p>
              </w:tc>
              <w:tc>
                <w:tcPr>
                  <w:tcW w:w="417" w:type="pct"/>
                  <w:vMerge w:val="restart"/>
                  <w:shd w:val="clear" w:color="auto" w:fill="auto"/>
                  <w:vAlign w:val="center"/>
                </w:tcPr>
                <w:p w14:paraId="55797B8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均值</w:t>
                  </w:r>
                </w:p>
              </w:tc>
              <w:tc>
                <w:tcPr>
                  <w:tcW w:w="377" w:type="pct"/>
                  <w:vMerge w:val="restart"/>
                  <w:shd w:val="clear" w:color="auto" w:fill="auto"/>
                  <w:vAlign w:val="center"/>
                </w:tcPr>
                <w:p w14:paraId="4BAD8D3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标准</w:t>
                  </w:r>
                </w:p>
                <w:p w14:paraId="4C82181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限值</w:t>
                  </w:r>
                </w:p>
              </w:tc>
              <w:tc>
                <w:tcPr>
                  <w:tcW w:w="319" w:type="pct"/>
                  <w:vMerge w:val="restart"/>
                  <w:shd w:val="clear" w:color="auto" w:fill="auto"/>
                  <w:vAlign w:val="center"/>
                </w:tcPr>
                <w:p w14:paraId="03D20E4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是否</w:t>
                  </w:r>
                </w:p>
                <w:p w14:paraId="3EA7F89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符合</w:t>
                  </w:r>
                </w:p>
              </w:tc>
            </w:tr>
            <w:tr w14:paraId="6C22E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shd w:val="clear" w:color="auto" w:fill="auto"/>
                  <w:vAlign w:val="center"/>
                </w:tcPr>
                <w:p w14:paraId="158A846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845" w:type="pct"/>
                  <w:vMerge w:val="continue"/>
                  <w:shd w:val="clear" w:color="auto" w:fill="auto"/>
                  <w:vAlign w:val="center"/>
                </w:tcPr>
                <w:p w14:paraId="652B458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461" w:type="pct"/>
                  <w:shd w:val="clear" w:color="auto" w:fill="auto"/>
                  <w:vAlign w:val="center"/>
                </w:tcPr>
                <w:p w14:paraId="1A24B4C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第1次</w:t>
                  </w:r>
                </w:p>
              </w:tc>
              <w:tc>
                <w:tcPr>
                  <w:tcW w:w="462" w:type="pct"/>
                  <w:shd w:val="clear" w:color="auto" w:fill="auto"/>
                  <w:vAlign w:val="center"/>
                </w:tcPr>
                <w:p w14:paraId="309C5FE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第2次</w:t>
                  </w:r>
                </w:p>
              </w:tc>
              <w:tc>
                <w:tcPr>
                  <w:tcW w:w="461" w:type="pct"/>
                  <w:shd w:val="clear" w:color="auto" w:fill="auto"/>
                  <w:vAlign w:val="center"/>
                </w:tcPr>
                <w:p w14:paraId="266C011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第3次</w:t>
                  </w:r>
                </w:p>
              </w:tc>
              <w:tc>
                <w:tcPr>
                  <w:tcW w:w="462" w:type="pct"/>
                  <w:shd w:val="clear" w:color="auto" w:fill="auto"/>
                  <w:vAlign w:val="center"/>
                </w:tcPr>
                <w:p w14:paraId="7FB5157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第4次</w:t>
                  </w:r>
                </w:p>
              </w:tc>
              <w:tc>
                <w:tcPr>
                  <w:tcW w:w="462" w:type="pct"/>
                  <w:shd w:val="clear" w:color="auto" w:fill="auto"/>
                  <w:vAlign w:val="center"/>
                </w:tcPr>
                <w:p w14:paraId="654559F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第5次</w:t>
                  </w:r>
                </w:p>
              </w:tc>
              <w:tc>
                <w:tcPr>
                  <w:tcW w:w="417" w:type="pct"/>
                  <w:vMerge w:val="continue"/>
                  <w:shd w:val="clear" w:color="auto" w:fill="auto"/>
                  <w:vAlign w:val="center"/>
                </w:tcPr>
                <w:p w14:paraId="026F41C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377" w:type="pct"/>
                  <w:vMerge w:val="continue"/>
                  <w:shd w:val="clear" w:color="auto" w:fill="auto"/>
                  <w:vAlign w:val="center"/>
                </w:tcPr>
                <w:p w14:paraId="15DB049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319" w:type="pct"/>
                  <w:vMerge w:val="continue"/>
                  <w:shd w:val="clear" w:color="auto" w:fill="auto"/>
                  <w:vAlign w:val="center"/>
                </w:tcPr>
                <w:p w14:paraId="5F1C4FC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r>
            <w:tr w14:paraId="479F8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shd w:val="clear" w:color="auto" w:fill="auto"/>
                  <w:vAlign w:val="center"/>
                </w:tcPr>
                <w:p w14:paraId="2ED8FEA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2021.11.14</w:t>
                  </w:r>
                </w:p>
              </w:tc>
              <w:tc>
                <w:tcPr>
                  <w:tcW w:w="845" w:type="pct"/>
                  <w:shd w:val="clear" w:color="auto" w:fill="auto"/>
                  <w:vAlign w:val="center"/>
                </w:tcPr>
                <w:p w14:paraId="1B37568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标杆风量</w:t>
                  </w:r>
                </w:p>
                <w:p w14:paraId="4255C3A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w:t>
                  </w:r>
                  <w:r>
                    <w:rPr>
                      <w:rFonts w:hint="default" w:ascii="Times New Roman" w:hAnsi="Times New Roman" w:cs="Times New Roman"/>
                      <w:color w:val="000000" w:themeColor="text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Cs w:val="21"/>
                      <w:highlight w:val="none"/>
                      <w:u w:val="single" w:color="auto"/>
                      <w14:textFill>
                        <w14:solidFill>
                          <w14:schemeClr w14:val="tx1"/>
                        </w14:solidFill>
                      </w14:textFill>
                    </w:rPr>
                    <w:t>h)</w:t>
                  </w:r>
                </w:p>
              </w:tc>
              <w:tc>
                <w:tcPr>
                  <w:tcW w:w="461" w:type="pct"/>
                  <w:shd w:val="clear" w:color="auto" w:fill="auto"/>
                  <w:vAlign w:val="center"/>
                </w:tcPr>
                <w:p w14:paraId="198F2B9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5176</w:t>
                  </w:r>
                </w:p>
              </w:tc>
              <w:tc>
                <w:tcPr>
                  <w:tcW w:w="462" w:type="pct"/>
                  <w:shd w:val="clear" w:color="auto" w:fill="auto"/>
                  <w:vAlign w:val="center"/>
                </w:tcPr>
                <w:p w14:paraId="2BB0A5D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5221</w:t>
                  </w:r>
                </w:p>
              </w:tc>
              <w:tc>
                <w:tcPr>
                  <w:tcW w:w="461" w:type="pct"/>
                  <w:shd w:val="clear" w:color="auto" w:fill="auto"/>
                  <w:vAlign w:val="center"/>
                </w:tcPr>
                <w:p w14:paraId="2EE60BC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5216</w:t>
                  </w:r>
                </w:p>
              </w:tc>
              <w:tc>
                <w:tcPr>
                  <w:tcW w:w="462" w:type="pct"/>
                  <w:shd w:val="clear" w:color="auto" w:fill="auto"/>
                  <w:vAlign w:val="center"/>
                </w:tcPr>
                <w:p w14:paraId="683D2B0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5252</w:t>
                  </w:r>
                </w:p>
              </w:tc>
              <w:tc>
                <w:tcPr>
                  <w:tcW w:w="462" w:type="pct"/>
                  <w:shd w:val="clear" w:color="auto" w:fill="auto"/>
                  <w:vAlign w:val="center"/>
                </w:tcPr>
                <w:p w14:paraId="0A58C36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5274</w:t>
                  </w:r>
                </w:p>
              </w:tc>
              <w:tc>
                <w:tcPr>
                  <w:tcW w:w="417" w:type="pct"/>
                  <w:shd w:val="clear" w:color="auto" w:fill="auto"/>
                  <w:vAlign w:val="center"/>
                </w:tcPr>
                <w:p w14:paraId="0704879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5228</w:t>
                  </w:r>
                </w:p>
              </w:tc>
              <w:tc>
                <w:tcPr>
                  <w:tcW w:w="377" w:type="pct"/>
                  <w:shd w:val="clear" w:color="auto" w:fill="auto"/>
                  <w:vAlign w:val="center"/>
                </w:tcPr>
                <w:p w14:paraId="616A7D9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319" w:type="pct"/>
                  <w:shd w:val="clear" w:color="auto" w:fill="auto"/>
                  <w:vAlign w:val="center"/>
                </w:tcPr>
                <w:p w14:paraId="2CE0C27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r>
            <w:tr w14:paraId="5F506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shd w:val="clear" w:color="auto" w:fill="auto"/>
                  <w:vAlign w:val="center"/>
                </w:tcPr>
                <w:p w14:paraId="51F7921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845" w:type="pct"/>
                  <w:shd w:val="clear" w:color="auto" w:fill="auto"/>
                  <w:vAlign w:val="center"/>
                </w:tcPr>
                <w:p w14:paraId="7817472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实测浓度</w:t>
                  </w:r>
                </w:p>
                <w:p w14:paraId="52A8B26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（mg/m</w:t>
                  </w:r>
                  <w:r>
                    <w:rPr>
                      <w:rFonts w:hint="default" w:ascii="Times New Roman" w:hAnsi="Times New Roman" w:cs="Times New Roman"/>
                      <w:color w:val="000000" w:themeColor="text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461" w:type="pct"/>
                  <w:shd w:val="clear" w:color="auto" w:fill="auto"/>
                  <w:vAlign w:val="center"/>
                </w:tcPr>
                <w:p w14:paraId="23E92B5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0.38</w:t>
                  </w:r>
                </w:p>
              </w:tc>
              <w:tc>
                <w:tcPr>
                  <w:tcW w:w="462" w:type="pct"/>
                  <w:shd w:val="clear" w:color="auto" w:fill="auto"/>
                  <w:vAlign w:val="center"/>
                </w:tcPr>
                <w:p w14:paraId="5E4883C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0.42</w:t>
                  </w:r>
                </w:p>
              </w:tc>
              <w:tc>
                <w:tcPr>
                  <w:tcW w:w="461" w:type="pct"/>
                  <w:shd w:val="clear" w:color="auto" w:fill="auto"/>
                  <w:vAlign w:val="center"/>
                </w:tcPr>
                <w:p w14:paraId="1C99BBC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0.40</w:t>
                  </w:r>
                </w:p>
              </w:tc>
              <w:tc>
                <w:tcPr>
                  <w:tcW w:w="462" w:type="pct"/>
                  <w:shd w:val="clear" w:color="auto" w:fill="auto"/>
                  <w:vAlign w:val="center"/>
                </w:tcPr>
                <w:p w14:paraId="57CCC92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0.39</w:t>
                  </w:r>
                </w:p>
              </w:tc>
              <w:tc>
                <w:tcPr>
                  <w:tcW w:w="462" w:type="pct"/>
                  <w:shd w:val="clear" w:color="auto" w:fill="auto"/>
                  <w:vAlign w:val="center"/>
                </w:tcPr>
                <w:p w14:paraId="7329C45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0.39</w:t>
                  </w:r>
                </w:p>
              </w:tc>
              <w:tc>
                <w:tcPr>
                  <w:tcW w:w="417" w:type="pct"/>
                  <w:shd w:val="clear" w:color="auto" w:fill="auto"/>
                  <w:vAlign w:val="center"/>
                </w:tcPr>
                <w:p w14:paraId="5723616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0.40</w:t>
                  </w:r>
                </w:p>
              </w:tc>
              <w:tc>
                <w:tcPr>
                  <w:tcW w:w="377" w:type="pct"/>
                  <w:shd w:val="clear" w:color="auto" w:fill="auto"/>
                  <w:vAlign w:val="center"/>
                </w:tcPr>
                <w:p w14:paraId="6CB3779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319" w:type="pct"/>
                  <w:shd w:val="clear" w:color="auto" w:fill="auto"/>
                  <w:vAlign w:val="center"/>
                </w:tcPr>
                <w:p w14:paraId="1FA3F6A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r>
            <w:tr w14:paraId="6DE08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shd w:val="clear" w:color="auto" w:fill="auto"/>
                  <w:vAlign w:val="center"/>
                </w:tcPr>
                <w:p w14:paraId="7107C0F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845" w:type="pct"/>
                  <w:shd w:val="clear" w:color="auto" w:fill="auto"/>
                  <w:vAlign w:val="center"/>
                </w:tcPr>
                <w:p w14:paraId="51AF4B9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折算浓度</w:t>
                  </w:r>
                </w:p>
                <w:p w14:paraId="7344425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（mg/m3）</w:t>
                  </w:r>
                </w:p>
              </w:tc>
              <w:tc>
                <w:tcPr>
                  <w:tcW w:w="461" w:type="pct"/>
                  <w:shd w:val="clear" w:color="auto" w:fill="auto"/>
                  <w:vAlign w:val="center"/>
                </w:tcPr>
                <w:p w14:paraId="09BF474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0.49</w:t>
                  </w:r>
                </w:p>
              </w:tc>
              <w:tc>
                <w:tcPr>
                  <w:tcW w:w="462" w:type="pct"/>
                  <w:shd w:val="clear" w:color="auto" w:fill="auto"/>
                  <w:vAlign w:val="center"/>
                </w:tcPr>
                <w:p w14:paraId="741CEF5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0.55</w:t>
                  </w:r>
                </w:p>
              </w:tc>
              <w:tc>
                <w:tcPr>
                  <w:tcW w:w="461" w:type="pct"/>
                  <w:shd w:val="clear" w:color="auto" w:fill="auto"/>
                  <w:vAlign w:val="center"/>
                </w:tcPr>
                <w:p w14:paraId="33F875B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0.52</w:t>
                  </w:r>
                </w:p>
              </w:tc>
              <w:tc>
                <w:tcPr>
                  <w:tcW w:w="462" w:type="pct"/>
                  <w:shd w:val="clear" w:color="auto" w:fill="auto"/>
                  <w:vAlign w:val="center"/>
                </w:tcPr>
                <w:p w14:paraId="0C2B0AB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0.51</w:t>
                  </w:r>
                </w:p>
              </w:tc>
              <w:tc>
                <w:tcPr>
                  <w:tcW w:w="462" w:type="pct"/>
                  <w:shd w:val="clear" w:color="auto" w:fill="auto"/>
                  <w:vAlign w:val="center"/>
                </w:tcPr>
                <w:p w14:paraId="1CC46CE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0.51</w:t>
                  </w:r>
                </w:p>
              </w:tc>
              <w:tc>
                <w:tcPr>
                  <w:tcW w:w="417" w:type="pct"/>
                  <w:shd w:val="clear" w:color="auto" w:fill="auto"/>
                  <w:vAlign w:val="center"/>
                </w:tcPr>
                <w:p w14:paraId="7D9F2D5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0.52</w:t>
                  </w:r>
                </w:p>
              </w:tc>
              <w:tc>
                <w:tcPr>
                  <w:tcW w:w="377" w:type="pct"/>
                  <w:shd w:val="clear" w:color="auto" w:fill="auto"/>
                  <w:vAlign w:val="center"/>
                </w:tcPr>
                <w:p w14:paraId="43D57D2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2.0</w:t>
                  </w:r>
                </w:p>
              </w:tc>
              <w:tc>
                <w:tcPr>
                  <w:tcW w:w="319" w:type="pct"/>
                  <w:shd w:val="clear" w:color="auto" w:fill="auto"/>
                  <w:vAlign w:val="center"/>
                </w:tcPr>
                <w:p w14:paraId="25EFD56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符合</w:t>
                  </w:r>
                </w:p>
              </w:tc>
            </w:tr>
            <w:tr w14:paraId="177DE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restart"/>
                  <w:shd w:val="clear" w:color="auto" w:fill="auto"/>
                  <w:vAlign w:val="center"/>
                </w:tcPr>
                <w:p w14:paraId="4F828D9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2021.11.15</w:t>
                  </w:r>
                </w:p>
              </w:tc>
              <w:tc>
                <w:tcPr>
                  <w:tcW w:w="845" w:type="pct"/>
                  <w:shd w:val="clear" w:color="auto" w:fill="auto"/>
                  <w:vAlign w:val="center"/>
                </w:tcPr>
                <w:p w14:paraId="2560A6F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标杆风量</w:t>
                  </w:r>
                </w:p>
                <w:p w14:paraId="32BC881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w:t>
                  </w:r>
                  <w:r>
                    <w:rPr>
                      <w:rFonts w:hint="default" w:ascii="Times New Roman" w:hAnsi="Times New Roman" w:cs="Times New Roman"/>
                      <w:color w:val="000000" w:themeColor="text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Cs w:val="21"/>
                      <w:highlight w:val="none"/>
                      <w:u w:val="single" w:color="auto"/>
                      <w14:textFill>
                        <w14:solidFill>
                          <w14:schemeClr w14:val="tx1"/>
                        </w14:solidFill>
                      </w14:textFill>
                    </w:rPr>
                    <w:t>/h)</w:t>
                  </w:r>
                </w:p>
              </w:tc>
              <w:tc>
                <w:tcPr>
                  <w:tcW w:w="461" w:type="pct"/>
                  <w:shd w:val="clear" w:color="auto" w:fill="auto"/>
                  <w:vAlign w:val="center"/>
                </w:tcPr>
                <w:p w14:paraId="4EB3D2C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5290</w:t>
                  </w:r>
                </w:p>
              </w:tc>
              <w:tc>
                <w:tcPr>
                  <w:tcW w:w="462" w:type="pct"/>
                  <w:shd w:val="clear" w:color="auto" w:fill="auto"/>
                  <w:vAlign w:val="center"/>
                </w:tcPr>
                <w:p w14:paraId="3BEB446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5328</w:t>
                  </w:r>
                </w:p>
              </w:tc>
              <w:tc>
                <w:tcPr>
                  <w:tcW w:w="461" w:type="pct"/>
                  <w:shd w:val="clear" w:color="auto" w:fill="auto"/>
                  <w:vAlign w:val="center"/>
                </w:tcPr>
                <w:p w14:paraId="3BAAB4D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5356</w:t>
                  </w:r>
                </w:p>
              </w:tc>
              <w:tc>
                <w:tcPr>
                  <w:tcW w:w="462" w:type="pct"/>
                  <w:shd w:val="clear" w:color="auto" w:fill="auto"/>
                  <w:vAlign w:val="center"/>
                </w:tcPr>
                <w:p w14:paraId="23F0BE3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5289</w:t>
                  </w:r>
                </w:p>
              </w:tc>
              <w:tc>
                <w:tcPr>
                  <w:tcW w:w="462" w:type="pct"/>
                  <w:shd w:val="clear" w:color="auto" w:fill="auto"/>
                  <w:vAlign w:val="center"/>
                </w:tcPr>
                <w:p w14:paraId="6A8F3E9F">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5308</w:t>
                  </w:r>
                </w:p>
              </w:tc>
              <w:tc>
                <w:tcPr>
                  <w:tcW w:w="417" w:type="pct"/>
                  <w:shd w:val="clear" w:color="auto" w:fill="auto"/>
                  <w:vAlign w:val="center"/>
                </w:tcPr>
                <w:p w14:paraId="29213B5B">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5314</w:t>
                  </w:r>
                </w:p>
              </w:tc>
              <w:tc>
                <w:tcPr>
                  <w:tcW w:w="377" w:type="pct"/>
                  <w:shd w:val="clear" w:color="auto" w:fill="auto"/>
                  <w:vAlign w:val="center"/>
                </w:tcPr>
                <w:p w14:paraId="7355021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319" w:type="pct"/>
                  <w:shd w:val="clear" w:color="auto" w:fill="auto"/>
                  <w:vAlign w:val="center"/>
                </w:tcPr>
                <w:p w14:paraId="45EDBD9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r>
            <w:tr w14:paraId="59A40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shd w:val="clear" w:color="auto" w:fill="auto"/>
                  <w:vAlign w:val="center"/>
                </w:tcPr>
                <w:p w14:paraId="5D13767A">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845" w:type="pct"/>
                  <w:shd w:val="clear" w:color="auto" w:fill="auto"/>
                  <w:vAlign w:val="center"/>
                </w:tcPr>
                <w:p w14:paraId="2609CEF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实测浓度</w:t>
                  </w:r>
                </w:p>
                <w:p w14:paraId="758070EC">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（mg/m</w:t>
                  </w:r>
                  <w:r>
                    <w:rPr>
                      <w:rFonts w:hint="default" w:ascii="Times New Roman" w:hAnsi="Times New Roman" w:cs="Times New Roman"/>
                      <w:color w:val="000000" w:themeColor="text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461" w:type="pct"/>
                  <w:shd w:val="clear" w:color="auto" w:fill="auto"/>
                  <w:vAlign w:val="center"/>
                </w:tcPr>
                <w:p w14:paraId="7D09CE6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0.42</w:t>
                  </w:r>
                </w:p>
              </w:tc>
              <w:tc>
                <w:tcPr>
                  <w:tcW w:w="462" w:type="pct"/>
                  <w:shd w:val="clear" w:color="auto" w:fill="auto"/>
                  <w:vAlign w:val="center"/>
                </w:tcPr>
                <w:p w14:paraId="1D696680">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0.39</w:t>
                  </w:r>
                </w:p>
              </w:tc>
              <w:tc>
                <w:tcPr>
                  <w:tcW w:w="461" w:type="pct"/>
                  <w:shd w:val="clear" w:color="auto" w:fill="auto"/>
                  <w:vAlign w:val="center"/>
                </w:tcPr>
                <w:p w14:paraId="69EDA2F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0.40</w:t>
                  </w:r>
                </w:p>
              </w:tc>
              <w:tc>
                <w:tcPr>
                  <w:tcW w:w="462" w:type="pct"/>
                  <w:shd w:val="clear" w:color="auto" w:fill="auto"/>
                  <w:vAlign w:val="center"/>
                </w:tcPr>
                <w:p w14:paraId="3F574A1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0.36</w:t>
                  </w:r>
                </w:p>
              </w:tc>
              <w:tc>
                <w:tcPr>
                  <w:tcW w:w="462" w:type="pct"/>
                  <w:shd w:val="clear" w:color="auto" w:fill="auto"/>
                  <w:vAlign w:val="center"/>
                </w:tcPr>
                <w:p w14:paraId="7298009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0.39</w:t>
                  </w:r>
                </w:p>
              </w:tc>
              <w:tc>
                <w:tcPr>
                  <w:tcW w:w="417" w:type="pct"/>
                  <w:shd w:val="clear" w:color="auto" w:fill="auto"/>
                  <w:vAlign w:val="center"/>
                </w:tcPr>
                <w:p w14:paraId="44BDD593">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0.39</w:t>
                  </w:r>
                </w:p>
              </w:tc>
              <w:tc>
                <w:tcPr>
                  <w:tcW w:w="377" w:type="pct"/>
                  <w:shd w:val="clear" w:color="auto" w:fill="auto"/>
                  <w:vAlign w:val="center"/>
                </w:tcPr>
                <w:p w14:paraId="305B8575">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319" w:type="pct"/>
                  <w:shd w:val="clear" w:color="auto" w:fill="auto"/>
                  <w:vAlign w:val="center"/>
                </w:tcPr>
                <w:p w14:paraId="60BFB8C1">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r>
            <w:tr w14:paraId="18026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pct"/>
                  <w:vMerge w:val="continue"/>
                  <w:shd w:val="clear" w:color="auto" w:fill="auto"/>
                  <w:vAlign w:val="center"/>
                </w:tcPr>
                <w:p w14:paraId="617A387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p>
              </w:tc>
              <w:tc>
                <w:tcPr>
                  <w:tcW w:w="845" w:type="pct"/>
                  <w:shd w:val="clear" w:color="auto" w:fill="auto"/>
                  <w:vAlign w:val="center"/>
                </w:tcPr>
                <w:p w14:paraId="0A257929">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折算浓度</w:t>
                  </w:r>
                </w:p>
                <w:p w14:paraId="1D96C2C7">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（mg/m</w:t>
                  </w:r>
                  <w:r>
                    <w:rPr>
                      <w:rFonts w:hint="default" w:ascii="Times New Roman" w:hAnsi="Times New Roman" w:cs="Times New Roman"/>
                      <w:color w:val="000000" w:themeColor="text1"/>
                      <w:szCs w:val="21"/>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Cs w:val="21"/>
                      <w:highlight w:val="none"/>
                      <w:u w:val="single" w:color="auto"/>
                      <w14:textFill>
                        <w14:solidFill>
                          <w14:schemeClr w14:val="tx1"/>
                        </w14:solidFill>
                      </w14:textFill>
                    </w:rPr>
                    <w:t>）</w:t>
                  </w:r>
                </w:p>
              </w:tc>
              <w:tc>
                <w:tcPr>
                  <w:tcW w:w="461" w:type="pct"/>
                  <w:shd w:val="clear" w:color="auto" w:fill="auto"/>
                  <w:vAlign w:val="center"/>
                </w:tcPr>
                <w:p w14:paraId="34302856">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0.56</w:t>
                  </w:r>
                </w:p>
              </w:tc>
              <w:tc>
                <w:tcPr>
                  <w:tcW w:w="462" w:type="pct"/>
                  <w:shd w:val="clear" w:color="auto" w:fill="auto"/>
                  <w:vAlign w:val="center"/>
                </w:tcPr>
                <w:p w14:paraId="4E1CAD6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0.52</w:t>
                  </w:r>
                </w:p>
              </w:tc>
              <w:tc>
                <w:tcPr>
                  <w:tcW w:w="461" w:type="pct"/>
                  <w:shd w:val="clear" w:color="auto" w:fill="auto"/>
                  <w:vAlign w:val="center"/>
                </w:tcPr>
                <w:p w14:paraId="48CD3F2E">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0.54</w:t>
                  </w:r>
                </w:p>
              </w:tc>
              <w:tc>
                <w:tcPr>
                  <w:tcW w:w="462" w:type="pct"/>
                  <w:shd w:val="clear" w:color="auto" w:fill="auto"/>
                  <w:vAlign w:val="center"/>
                </w:tcPr>
                <w:p w14:paraId="74AE1B28">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0.48</w:t>
                  </w:r>
                </w:p>
              </w:tc>
              <w:tc>
                <w:tcPr>
                  <w:tcW w:w="462" w:type="pct"/>
                  <w:shd w:val="clear" w:color="auto" w:fill="auto"/>
                  <w:vAlign w:val="center"/>
                </w:tcPr>
                <w:p w14:paraId="595D9B4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0.52</w:t>
                  </w:r>
                </w:p>
              </w:tc>
              <w:tc>
                <w:tcPr>
                  <w:tcW w:w="417" w:type="pct"/>
                  <w:shd w:val="clear" w:color="auto" w:fill="auto"/>
                  <w:vAlign w:val="center"/>
                </w:tcPr>
                <w:p w14:paraId="345D9684">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0.52</w:t>
                  </w:r>
                </w:p>
              </w:tc>
              <w:tc>
                <w:tcPr>
                  <w:tcW w:w="377" w:type="pct"/>
                  <w:shd w:val="clear" w:color="auto" w:fill="auto"/>
                  <w:vAlign w:val="center"/>
                </w:tcPr>
                <w:p w14:paraId="7CC89D3D">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2.0</w:t>
                  </w:r>
                </w:p>
              </w:tc>
              <w:tc>
                <w:tcPr>
                  <w:tcW w:w="319" w:type="pct"/>
                  <w:shd w:val="clear" w:color="auto" w:fill="auto"/>
                  <w:vAlign w:val="center"/>
                </w:tcPr>
                <w:p w14:paraId="4AD42B22">
                  <w:pPr>
                    <w:keepNext w:val="0"/>
                    <w:keepLines w:val="0"/>
                    <w:pageBreakBefore w:val="0"/>
                    <w:widowControl w:val="0"/>
                    <w:kinsoku/>
                    <w:wordWrap/>
                    <w:overflowPunct/>
                    <w:topLinePunct w:val="0"/>
                    <w:autoSpaceDE/>
                    <w:autoSpaceDN/>
                    <w:bidi w:val="0"/>
                    <w:adjustRightInd/>
                    <w:snapToGrid/>
                    <w:ind w:left="-105" w:leftChars="-50" w:right="-105" w:rightChars="-50"/>
                    <w:jc w:val="center"/>
                    <w:textAlignment w:val="auto"/>
                    <w:rPr>
                      <w:rFonts w:hint="default" w:ascii="Times New Roman" w:hAnsi="Times New Roman" w:cs="Times New Roman"/>
                      <w:color w:val="000000" w:themeColor="text1"/>
                      <w:szCs w:val="21"/>
                      <w:highlight w:val="none"/>
                      <w:u w:val="single" w:color="auto"/>
                      <w14:textFill>
                        <w14:solidFill>
                          <w14:schemeClr w14:val="tx1"/>
                        </w14:solidFill>
                      </w14:textFill>
                    </w:rPr>
                  </w:pPr>
                  <w:r>
                    <w:rPr>
                      <w:rFonts w:hint="default" w:ascii="Times New Roman" w:hAnsi="Times New Roman" w:cs="Times New Roman"/>
                      <w:color w:val="000000" w:themeColor="text1"/>
                      <w:szCs w:val="21"/>
                      <w:highlight w:val="none"/>
                      <w:u w:val="single" w:color="auto"/>
                      <w14:textFill>
                        <w14:solidFill>
                          <w14:schemeClr w14:val="tx1"/>
                        </w14:solidFill>
                      </w14:textFill>
                    </w:rPr>
                    <w:t>符合</w:t>
                  </w:r>
                </w:p>
              </w:tc>
            </w:tr>
          </w:tbl>
          <w:p w14:paraId="2384BC2C">
            <w:pPr>
              <w:spacing w:line="360" w:lineRule="auto"/>
              <w:ind w:firstLine="480" w:firstLineChars="200"/>
              <w:rPr>
                <w:rFonts w:hint="default" w:ascii="Times New Roman" w:hAnsi="Times New Roman" w:cs="Times New Roman"/>
                <w:color w:val="000000" w:themeColor="text1"/>
                <w:sz w:val="24"/>
                <w:highlight w:val="none"/>
                <w:u w:val="single" w:color="auto"/>
                <w14:textFill>
                  <w14:solidFill>
                    <w14:schemeClr w14:val="tx1"/>
                  </w14:solidFill>
                </w14:textFill>
              </w:rPr>
            </w:pPr>
            <w:r>
              <w:rPr>
                <w:rFonts w:hint="default" w:ascii="Times New Roman" w:hAnsi="Times New Roman" w:cs="Times New Roman"/>
                <w:color w:val="000000" w:themeColor="text1"/>
                <w:sz w:val="24"/>
                <w:highlight w:val="none"/>
                <w:u w:val="single" w:color="auto"/>
                <w14:textFill>
                  <w14:solidFill>
                    <w14:schemeClr w14:val="tx1"/>
                  </w14:solidFill>
                </w14:textFill>
              </w:rPr>
              <w:t>由</w:t>
            </w:r>
            <w:r>
              <w:rPr>
                <w:rFonts w:hint="default" w:ascii="Times New Roman" w:hAnsi="Times New Roman" w:cs="Times New Roman"/>
                <w:color w:val="000000" w:themeColor="text1"/>
                <w:sz w:val="24"/>
                <w:highlight w:val="none"/>
                <w:u w:val="single" w:color="auto"/>
                <w:lang w:val="en-US" w:eastAsia="zh-CN"/>
                <w14:textFill>
                  <w14:solidFill>
                    <w14:schemeClr w14:val="tx1"/>
                  </w14:solidFill>
                </w14:textFill>
              </w:rPr>
              <w:t>上</w:t>
            </w:r>
            <w:r>
              <w:rPr>
                <w:rFonts w:hint="default" w:ascii="Times New Roman" w:hAnsi="Times New Roman" w:cs="Times New Roman"/>
                <w:color w:val="000000" w:themeColor="text1"/>
                <w:sz w:val="24"/>
                <w:highlight w:val="none"/>
                <w:u w:val="single" w:color="auto"/>
                <w14:textFill>
                  <w14:solidFill>
                    <w14:schemeClr w14:val="tx1"/>
                  </w14:solidFill>
                </w14:textFill>
              </w:rPr>
              <w:t>表监测结果可知：本项目厂界外上风向参照点（G1）、下风向监控点（G2、G3）监测结果中颗粒物最大值为0.173mg/m</w:t>
            </w:r>
            <w:r>
              <w:rPr>
                <w:rFonts w:hint="default" w:ascii="Times New Roman" w:hAnsi="Times New Roman" w:cs="Times New Roman"/>
                <w:color w:val="000000" w:themeColor="text1"/>
                <w:sz w:val="24"/>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color="auto"/>
                <w14:textFill>
                  <w14:solidFill>
                    <w14:schemeClr w14:val="tx1"/>
                  </w14:solidFill>
                </w14:textFill>
              </w:rPr>
              <w:t>、苯最大值为0.096mg/m</w:t>
            </w:r>
            <w:r>
              <w:rPr>
                <w:rFonts w:hint="default" w:ascii="Times New Roman" w:hAnsi="Times New Roman" w:cs="Times New Roman"/>
                <w:color w:val="000000" w:themeColor="text1"/>
                <w:sz w:val="24"/>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color="auto"/>
                <w14:textFill>
                  <w14:solidFill>
                    <w14:schemeClr w14:val="tx1"/>
                  </w14:solidFill>
                </w14:textFill>
              </w:rPr>
              <w:t>、甲苯最大值为0.185mg/m</w:t>
            </w:r>
            <w:r>
              <w:rPr>
                <w:rFonts w:hint="default" w:ascii="Times New Roman" w:hAnsi="Times New Roman" w:cs="Times New Roman"/>
                <w:color w:val="000000" w:themeColor="text1"/>
                <w:sz w:val="24"/>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color="auto"/>
                <w14:textFill>
                  <w14:solidFill>
                    <w14:schemeClr w14:val="tx1"/>
                  </w14:solidFill>
                </w14:textFill>
              </w:rPr>
              <w:t>、二甲苯最大值为0.39mg/m</w:t>
            </w:r>
            <w:r>
              <w:rPr>
                <w:rFonts w:hint="default" w:ascii="Times New Roman" w:hAnsi="Times New Roman" w:cs="Times New Roman"/>
                <w:color w:val="000000" w:themeColor="text1"/>
                <w:sz w:val="24"/>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color="auto"/>
                <w14:textFill>
                  <w14:solidFill>
                    <w14:schemeClr w14:val="tx1"/>
                  </w14:solidFill>
                </w14:textFill>
              </w:rPr>
              <w:t>；颗粒物无组织排放浓度符合《大气污染物综合排放标准》（GB16297-1996）表2二级标准要求；苯无组织排放浓度符合《表面涂装（汽车制造及维修）挥发性有机物、镍排放标准》（DB43/1356-2017）中排放浓度限值要求；厂区内监测的非甲烷总烃最大值为2.37mg/m</w:t>
            </w:r>
            <w:r>
              <w:rPr>
                <w:rFonts w:hint="default" w:ascii="Times New Roman" w:hAnsi="Times New Roman" w:cs="Times New Roman"/>
                <w:color w:val="000000" w:themeColor="text1"/>
                <w:sz w:val="24"/>
                <w:highlight w:val="none"/>
                <w:u w:val="single" w:color="auto"/>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color="auto"/>
                <w14:textFill>
                  <w14:solidFill>
                    <w14:schemeClr w14:val="tx1"/>
                  </w14:solidFill>
                </w14:textFill>
              </w:rPr>
              <w:t>，厂区内非甲烷总烃无组织排放浓度符合《挥发性有机物无组织排放控制标准》（GB 37822—2019）无组织监控点挥发性有机物浓度限值要求。</w:t>
            </w:r>
          </w:p>
          <w:p w14:paraId="3205B8B3">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2）噪声</w:t>
            </w:r>
          </w:p>
          <w:p w14:paraId="208B68B2">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现有工程主要噪声源为各机械设备，均位于厂房内部，各噪声源采取“以防为主，防治结合”的方式，在确保满足生产工艺的情况下，本项目主要噪声设备均位于厂房内部，经过距离削减、厂房隔声等措施后，降低对厂界周围的影响。</w:t>
            </w:r>
          </w:p>
          <w:p w14:paraId="2E2780EB">
            <w:pPr>
              <w:spacing w:line="360" w:lineRule="auto"/>
              <w:ind w:firstLine="480" w:firstLineChars="200"/>
              <w:rPr>
                <w:rFonts w:hint="default" w:ascii="Times New Roman" w:hAnsi="Times New Roman" w:cs="Times New Roman"/>
                <w:color w:val="000000" w:themeColor="text1"/>
                <w:sz w:val="24"/>
                <w:highlight w:val="none"/>
                <w:u w:val="none" w:color="auto"/>
                <w14:textFill>
                  <w14:solidFill>
                    <w14:schemeClr w14:val="tx1"/>
                  </w14:solidFill>
                </w14:textFill>
              </w:rPr>
            </w:pPr>
            <w:r>
              <w:rPr>
                <w:rFonts w:hint="default" w:ascii="Times New Roman" w:hAnsi="Times New Roman" w:cs="Times New Roman"/>
                <w:color w:val="000000" w:themeColor="text1"/>
                <w:sz w:val="24"/>
                <w:highlight w:val="none"/>
                <w:u w:val="none" w:color="auto"/>
                <w14:textFill>
                  <w14:solidFill>
                    <w14:schemeClr w14:val="tx1"/>
                  </w14:solidFill>
                </w14:textFill>
              </w:rPr>
              <w:t>湖南</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林晟</w:t>
            </w:r>
            <w:r>
              <w:rPr>
                <w:rFonts w:hint="default" w:ascii="Times New Roman" w:hAnsi="Times New Roman" w:cs="Times New Roman"/>
                <w:color w:val="000000" w:themeColor="text1"/>
                <w:sz w:val="24"/>
                <w:highlight w:val="none"/>
                <w:u w:val="none" w:color="auto"/>
                <w14:textFill>
                  <w14:solidFill>
                    <w14:schemeClr w14:val="tx1"/>
                  </w14:solidFill>
                </w14:textFill>
              </w:rPr>
              <w:t>检测</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环境</w:t>
            </w:r>
            <w:r>
              <w:rPr>
                <w:rFonts w:hint="default" w:ascii="Times New Roman" w:hAnsi="Times New Roman" w:cs="Times New Roman"/>
                <w:color w:val="000000" w:themeColor="text1"/>
                <w:sz w:val="24"/>
                <w:highlight w:val="none"/>
                <w:u w:val="none" w:color="auto"/>
                <w14:textFill>
                  <w14:solidFill>
                    <w14:schemeClr w14:val="tx1"/>
                  </w14:solidFill>
                </w14:textFill>
              </w:rPr>
              <w:t>有限公司于2021年1</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1</w:t>
            </w:r>
            <w:r>
              <w:rPr>
                <w:rFonts w:hint="default" w:ascii="Times New Roman" w:hAnsi="Times New Roman" w:cs="Times New Roman"/>
                <w:color w:val="000000" w:themeColor="text1"/>
                <w:sz w:val="24"/>
                <w:highlight w:val="none"/>
                <w:u w:val="none" w:color="auto"/>
                <w14:textFill>
                  <w14:solidFill>
                    <w14:schemeClr w14:val="tx1"/>
                  </w14:solidFill>
                </w14:textFill>
              </w:rPr>
              <w:t>月1</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4</w:t>
            </w:r>
            <w:r>
              <w:rPr>
                <w:rFonts w:hint="default" w:ascii="Times New Roman" w:hAnsi="Times New Roman" w:cs="Times New Roman"/>
                <w:color w:val="000000" w:themeColor="text1"/>
                <w:sz w:val="24"/>
                <w:highlight w:val="none"/>
                <w:u w:val="none" w:color="auto"/>
                <w14:textFill>
                  <w14:solidFill>
                    <w14:schemeClr w14:val="tx1"/>
                  </w14:solidFill>
                </w14:textFill>
              </w:rPr>
              <w:t>日</w:t>
            </w:r>
            <w:r>
              <w:rPr>
                <w:rFonts w:hint="default" w:ascii="Times New Roman" w:hAnsi="Times New Roman" w:cs="Times New Roman"/>
                <w:color w:val="000000" w:themeColor="text1"/>
                <w:sz w:val="24"/>
                <w:highlight w:val="none"/>
                <w:u w:val="none" w:color="auto"/>
                <w:lang w:val="en-US" w:eastAsia="zh-CN"/>
                <w14:textFill>
                  <w14:solidFill>
                    <w14:schemeClr w14:val="tx1"/>
                  </w14:solidFill>
                </w14:textFill>
              </w:rPr>
              <w:t>-15日</w:t>
            </w:r>
            <w:r>
              <w:rPr>
                <w:rFonts w:hint="default" w:ascii="Times New Roman" w:hAnsi="Times New Roman" w:cs="Times New Roman"/>
                <w:color w:val="000000" w:themeColor="text1"/>
                <w:sz w:val="24"/>
                <w:highlight w:val="none"/>
                <w:u w:val="none" w:color="auto"/>
                <w14:textFill>
                  <w14:solidFill>
                    <w14:schemeClr w14:val="tx1"/>
                  </w14:solidFill>
                </w14:textFill>
              </w:rPr>
              <w:t>对</w:t>
            </w:r>
            <w:r>
              <w:rPr>
                <w:rFonts w:hint="default" w:ascii="Times New Roman" w:hAnsi="Times New Roman" w:eastAsia="宋体" w:cs="Times New Roman"/>
                <w:color w:val="000000" w:themeColor="text1"/>
                <w:sz w:val="24"/>
                <w:szCs w:val="24"/>
                <w:highlight w:val="none"/>
                <w:u w:val="none" w:color="auto"/>
                <w14:textFill>
                  <w14:solidFill>
                    <w14:schemeClr w14:val="tx1"/>
                  </w14:solidFill>
                </w14:textFill>
              </w:rPr>
              <w:t>衡阳市朝阳重机有限公司</w:t>
            </w:r>
            <w:r>
              <w:rPr>
                <w:rFonts w:hint="default" w:ascii="Times New Roman" w:hAnsi="Times New Roman" w:cs="Times New Roman"/>
                <w:color w:val="000000" w:themeColor="text1"/>
                <w:sz w:val="24"/>
                <w:highlight w:val="none"/>
                <w:u w:val="none" w:color="auto"/>
                <w14:textFill>
                  <w14:solidFill>
                    <w14:schemeClr w14:val="tx1"/>
                  </w14:solidFill>
                </w14:textFill>
              </w:rPr>
              <w:t>进行了噪声污染源监测，监测期间生产设备正常运行。监测结果见下表。</w:t>
            </w:r>
          </w:p>
          <w:p w14:paraId="5FBDE8C1">
            <w:pPr>
              <w:pStyle w:val="73"/>
              <w:rPr>
                <w:rFonts w:hint="default" w:ascii="Times New Roman" w:hAnsi="Times New Roman" w:cs="Times New Roman"/>
                <w:color w:val="000000" w:themeColor="text1"/>
                <w:sz w:val="21"/>
                <w:szCs w:val="21"/>
                <w:highlight w:val="none"/>
                <w:u w:val="none" w:color="auto"/>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表</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2-1</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8</w:t>
            </w:r>
            <w:r>
              <w:rPr>
                <w:rFonts w:hint="default" w:ascii="Times New Roman" w:hAnsi="Times New Roman" w:cs="Times New Roman"/>
                <w:color w:val="000000" w:themeColor="text1"/>
                <w:sz w:val="21"/>
                <w:szCs w:val="21"/>
                <w:highlight w:val="none"/>
                <w:u w:val="none" w:color="auto"/>
                <w14:textFill>
                  <w14:solidFill>
                    <w14:schemeClr w14:val="tx1"/>
                  </w14:solidFill>
                </w14:textFill>
              </w:rPr>
              <w:t xml:space="preserve">  厂界噪声监测结果</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15" w:type="dxa"/>
                <w:left w:w="15" w:type="dxa"/>
                <w:bottom w:w="15" w:type="dxa"/>
                <w:right w:w="15" w:type="dxa"/>
              </w:tblCellMar>
            </w:tblPr>
            <w:tblGrid>
              <w:gridCol w:w="2130"/>
              <w:gridCol w:w="1745"/>
              <w:gridCol w:w="1124"/>
              <w:gridCol w:w="1126"/>
              <w:gridCol w:w="1124"/>
              <w:gridCol w:w="1127"/>
            </w:tblGrid>
            <w:tr w14:paraId="6E2CD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6" w:hRule="atLeast"/>
                <w:jc w:val="center"/>
              </w:trPr>
              <w:tc>
                <w:tcPr>
                  <w:tcW w:w="1271" w:type="pct"/>
                  <w:vMerge w:val="restart"/>
                  <w:shd w:val="clear" w:color="auto" w:fill="FFFFFF"/>
                  <w:vAlign w:val="center"/>
                </w:tcPr>
                <w:p w14:paraId="56B4F920">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检测点位</w:t>
                  </w:r>
                </w:p>
              </w:tc>
              <w:tc>
                <w:tcPr>
                  <w:tcW w:w="1041" w:type="pct"/>
                  <w:vMerge w:val="restart"/>
                  <w:shd w:val="clear" w:color="auto" w:fill="FFFFFF"/>
                  <w:vAlign w:val="center"/>
                </w:tcPr>
                <w:p w14:paraId="66BDD8BC">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检测时间</w:t>
                  </w:r>
                </w:p>
              </w:tc>
              <w:tc>
                <w:tcPr>
                  <w:tcW w:w="1343" w:type="pct"/>
                  <w:gridSpan w:val="2"/>
                  <w:shd w:val="clear" w:color="auto" w:fill="FFFFFF"/>
                  <w:vAlign w:val="center"/>
                </w:tcPr>
                <w:p w14:paraId="3D7704F9">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昼间</w:t>
                  </w:r>
                </w:p>
              </w:tc>
              <w:tc>
                <w:tcPr>
                  <w:tcW w:w="1343" w:type="pct"/>
                  <w:gridSpan w:val="2"/>
                  <w:shd w:val="clear" w:color="auto" w:fill="FFFFFF"/>
                  <w:vAlign w:val="center"/>
                </w:tcPr>
                <w:p w14:paraId="30A0C058">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夜间</w:t>
                  </w:r>
                </w:p>
              </w:tc>
            </w:tr>
            <w:tr w14:paraId="7F9D4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66" w:hRule="atLeast"/>
                <w:jc w:val="center"/>
              </w:trPr>
              <w:tc>
                <w:tcPr>
                  <w:tcW w:w="1271" w:type="pct"/>
                  <w:vMerge w:val="continue"/>
                  <w:shd w:val="clear" w:color="auto" w:fill="FFFFFF"/>
                  <w:vAlign w:val="center"/>
                </w:tcPr>
                <w:p w14:paraId="47CD6938">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1041" w:type="pct"/>
                  <w:vMerge w:val="continue"/>
                  <w:shd w:val="clear" w:color="auto" w:fill="FFFFFF"/>
                  <w:vAlign w:val="center"/>
                </w:tcPr>
                <w:p w14:paraId="1A22DB82">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671" w:type="pct"/>
                  <w:shd w:val="clear" w:color="auto" w:fill="FFFFFF"/>
                  <w:vAlign w:val="center"/>
                </w:tcPr>
                <w:p w14:paraId="5EA6155A">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检测结果</w:t>
                  </w:r>
                </w:p>
              </w:tc>
              <w:tc>
                <w:tcPr>
                  <w:tcW w:w="671" w:type="pct"/>
                  <w:shd w:val="clear" w:color="auto" w:fill="FFFFFF"/>
                  <w:vAlign w:val="center"/>
                </w:tcPr>
                <w:p w14:paraId="704C568A">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控制标准</w:t>
                  </w:r>
                </w:p>
              </w:tc>
              <w:tc>
                <w:tcPr>
                  <w:tcW w:w="671" w:type="pct"/>
                  <w:shd w:val="clear" w:color="auto" w:fill="FFFFFF"/>
                  <w:vAlign w:val="center"/>
                </w:tcPr>
                <w:p w14:paraId="611D4250">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检测结果</w:t>
                  </w:r>
                </w:p>
              </w:tc>
              <w:tc>
                <w:tcPr>
                  <w:tcW w:w="672" w:type="pct"/>
                  <w:shd w:val="clear" w:color="auto" w:fill="FFFFFF"/>
                  <w:vAlign w:val="center"/>
                </w:tcPr>
                <w:p w14:paraId="55F6BC33">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控制标准</w:t>
                  </w:r>
                </w:p>
              </w:tc>
            </w:tr>
            <w:tr w14:paraId="4990E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rPr>
                <w:trHeight w:val="330" w:hRule="atLeast"/>
                <w:jc w:val="center"/>
              </w:trPr>
              <w:tc>
                <w:tcPr>
                  <w:tcW w:w="1271" w:type="pct"/>
                  <w:vMerge w:val="restart"/>
                  <w:shd w:val="clear" w:color="auto" w:fill="FFFFFF"/>
                  <w:vAlign w:val="center"/>
                </w:tcPr>
                <w:p w14:paraId="01439DC5">
                  <w:pPr>
                    <w:spacing w:line="360" w:lineRule="exact"/>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N</w:t>
                  </w:r>
                  <w:r>
                    <w:rPr>
                      <w:rFonts w:hint="default" w:ascii="Times New Roman" w:hAnsi="Times New Roman" w:cs="Times New Roman"/>
                      <w:b w:val="0"/>
                      <w:bCs w:val="0"/>
                      <w:color w:val="000000" w:themeColor="text1"/>
                      <w:szCs w:val="21"/>
                      <w:highlight w:val="none"/>
                      <w:u w:val="none" w:color="auto"/>
                      <w:vertAlign w:val="subscript"/>
                      <w14:textFill>
                        <w14:solidFill>
                          <w14:schemeClr w14:val="tx1"/>
                        </w14:solidFill>
                      </w14:textFill>
                    </w:rPr>
                    <w:t>1</w:t>
                  </w: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厂界东面外1m</w:t>
                  </w:r>
                </w:p>
              </w:tc>
              <w:tc>
                <w:tcPr>
                  <w:tcW w:w="1041" w:type="pct"/>
                  <w:shd w:val="clear" w:color="auto" w:fill="FFFFFF"/>
                  <w:vAlign w:val="center"/>
                </w:tcPr>
                <w:p w14:paraId="40D3FA96">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2021.11.14</w:t>
                  </w:r>
                </w:p>
              </w:tc>
              <w:tc>
                <w:tcPr>
                  <w:tcW w:w="671" w:type="pct"/>
                  <w:shd w:val="clear" w:color="auto" w:fill="FFFFFF"/>
                  <w:vAlign w:val="center"/>
                </w:tcPr>
                <w:p w14:paraId="05372C5C">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58.7</w:t>
                  </w:r>
                </w:p>
              </w:tc>
              <w:tc>
                <w:tcPr>
                  <w:tcW w:w="671" w:type="pct"/>
                  <w:shd w:val="clear" w:color="auto" w:fill="FFFFFF"/>
                  <w:vAlign w:val="center"/>
                </w:tcPr>
                <w:p w14:paraId="138224A4">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7D523BC7">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48.1</w:t>
                  </w:r>
                </w:p>
              </w:tc>
              <w:tc>
                <w:tcPr>
                  <w:tcW w:w="672" w:type="pct"/>
                  <w:shd w:val="clear" w:color="auto" w:fill="FFFFFF"/>
                  <w:vAlign w:val="center"/>
                </w:tcPr>
                <w:p w14:paraId="75B1402B">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03B9E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rPr>
                <w:trHeight w:val="330" w:hRule="atLeast"/>
                <w:jc w:val="center"/>
              </w:trPr>
              <w:tc>
                <w:tcPr>
                  <w:tcW w:w="1271" w:type="pct"/>
                  <w:vMerge w:val="continue"/>
                  <w:shd w:val="clear" w:color="auto" w:fill="FFFFFF"/>
                  <w:vAlign w:val="center"/>
                </w:tcPr>
                <w:p w14:paraId="1B83A60C">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1041" w:type="pct"/>
                  <w:shd w:val="clear" w:color="auto" w:fill="FFFFFF"/>
                  <w:vAlign w:val="center"/>
                </w:tcPr>
                <w:p w14:paraId="365DF7CF">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2021.11.15</w:t>
                  </w:r>
                </w:p>
              </w:tc>
              <w:tc>
                <w:tcPr>
                  <w:tcW w:w="671" w:type="pct"/>
                  <w:shd w:val="clear" w:color="auto" w:fill="FFFFFF"/>
                  <w:vAlign w:val="center"/>
                </w:tcPr>
                <w:p w14:paraId="499A04F6">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59.3</w:t>
                  </w:r>
                </w:p>
              </w:tc>
              <w:tc>
                <w:tcPr>
                  <w:tcW w:w="671" w:type="pct"/>
                  <w:shd w:val="clear" w:color="auto" w:fill="FFFFFF"/>
                  <w:vAlign w:val="center"/>
                </w:tcPr>
                <w:p w14:paraId="26B77215">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7C5BD8E5">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47.7</w:t>
                  </w:r>
                </w:p>
              </w:tc>
              <w:tc>
                <w:tcPr>
                  <w:tcW w:w="672" w:type="pct"/>
                  <w:shd w:val="clear" w:color="auto" w:fill="FFFFFF"/>
                  <w:vAlign w:val="center"/>
                </w:tcPr>
                <w:p w14:paraId="58229C0D">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52972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1271" w:type="pct"/>
                  <w:vMerge w:val="restart"/>
                  <w:shd w:val="clear" w:color="auto" w:fill="FFFFFF"/>
                  <w:vAlign w:val="center"/>
                </w:tcPr>
                <w:p w14:paraId="695C3980">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N</w:t>
                  </w:r>
                  <w:r>
                    <w:rPr>
                      <w:rFonts w:hint="default" w:ascii="Times New Roman" w:hAnsi="Times New Roman" w:cs="Times New Roman"/>
                      <w:b w:val="0"/>
                      <w:bCs w:val="0"/>
                      <w:color w:val="000000" w:themeColor="text1"/>
                      <w:szCs w:val="21"/>
                      <w:highlight w:val="none"/>
                      <w:u w:val="none" w:color="auto"/>
                      <w:vertAlign w:val="subscript"/>
                      <w14:textFill>
                        <w14:solidFill>
                          <w14:schemeClr w14:val="tx1"/>
                        </w14:solidFill>
                      </w14:textFill>
                    </w:rPr>
                    <w:t>2</w:t>
                  </w: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厂界南面外1m</w:t>
                  </w:r>
                </w:p>
              </w:tc>
              <w:tc>
                <w:tcPr>
                  <w:tcW w:w="1663" w:type="dxa"/>
                  <w:shd w:val="clear" w:color="auto" w:fill="FFFFFF"/>
                  <w:vAlign w:val="center"/>
                </w:tcPr>
                <w:p w14:paraId="294DD6D8">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2021.11.14</w:t>
                  </w:r>
                </w:p>
              </w:tc>
              <w:tc>
                <w:tcPr>
                  <w:tcW w:w="671" w:type="pct"/>
                  <w:shd w:val="clear" w:color="auto" w:fill="FFFFFF"/>
                  <w:vAlign w:val="center"/>
                </w:tcPr>
                <w:p w14:paraId="73EA53FB">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57.3</w:t>
                  </w:r>
                </w:p>
              </w:tc>
              <w:tc>
                <w:tcPr>
                  <w:tcW w:w="671" w:type="pct"/>
                  <w:shd w:val="clear" w:color="auto" w:fill="FFFFFF"/>
                  <w:vAlign w:val="center"/>
                </w:tcPr>
                <w:p w14:paraId="056868B2">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6E991E0B">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46.3</w:t>
                  </w:r>
                </w:p>
              </w:tc>
              <w:tc>
                <w:tcPr>
                  <w:tcW w:w="672" w:type="pct"/>
                  <w:shd w:val="clear" w:color="auto" w:fill="FFFFFF"/>
                  <w:vAlign w:val="center"/>
                </w:tcPr>
                <w:p w14:paraId="0D4BD2D8">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261CD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rPr>
                <w:trHeight w:val="330" w:hRule="atLeast"/>
                <w:jc w:val="center"/>
              </w:trPr>
              <w:tc>
                <w:tcPr>
                  <w:tcW w:w="1271" w:type="pct"/>
                  <w:vMerge w:val="continue"/>
                  <w:shd w:val="clear" w:color="auto" w:fill="FFFFFF"/>
                  <w:vAlign w:val="center"/>
                </w:tcPr>
                <w:p w14:paraId="5FDFA4EC">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1663" w:type="dxa"/>
                  <w:shd w:val="clear" w:color="auto" w:fill="FFFFFF"/>
                  <w:vAlign w:val="center"/>
                </w:tcPr>
                <w:p w14:paraId="775F15D0">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2021.11.15</w:t>
                  </w:r>
                </w:p>
              </w:tc>
              <w:tc>
                <w:tcPr>
                  <w:tcW w:w="671" w:type="pct"/>
                  <w:shd w:val="clear" w:color="auto" w:fill="FFFFFF"/>
                  <w:vAlign w:val="center"/>
                </w:tcPr>
                <w:p w14:paraId="3AF9EC4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57.6</w:t>
                  </w:r>
                </w:p>
              </w:tc>
              <w:tc>
                <w:tcPr>
                  <w:tcW w:w="671" w:type="pct"/>
                  <w:shd w:val="clear" w:color="auto" w:fill="FFFFFF"/>
                  <w:vAlign w:val="center"/>
                </w:tcPr>
                <w:p w14:paraId="20F41CF1">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7E9BECD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46.8</w:t>
                  </w:r>
                </w:p>
              </w:tc>
              <w:tc>
                <w:tcPr>
                  <w:tcW w:w="672" w:type="pct"/>
                  <w:shd w:val="clear" w:color="auto" w:fill="FFFFFF"/>
                  <w:vAlign w:val="center"/>
                </w:tcPr>
                <w:p w14:paraId="1A993CB6">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27364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rPr>
                <w:trHeight w:val="330" w:hRule="atLeast"/>
                <w:jc w:val="center"/>
              </w:trPr>
              <w:tc>
                <w:tcPr>
                  <w:tcW w:w="1271" w:type="pct"/>
                  <w:vMerge w:val="restart"/>
                  <w:shd w:val="clear" w:color="auto" w:fill="FFFFFF"/>
                  <w:vAlign w:val="center"/>
                </w:tcPr>
                <w:p w14:paraId="66440A6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N</w:t>
                  </w:r>
                  <w:r>
                    <w:rPr>
                      <w:rFonts w:hint="default" w:ascii="Times New Roman" w:hAnsi="Times New Roman" w:cs="Times New Roman"/>
                      <w:b w:val="0"/>
                      <w:bCs w:val="0"/>
                      <w:color w:val="000000" w:themeColor="text1"/>
                      <w:szCs w:val="21"/>
                      <w:highlight w:val="none"/>
                      <w:u w:val="none" w:color="auto"/>
                      <w:vertAlign w:val="subscript"/>
                      <w14:textFill>
                        <w14:solidFill>
                          <w14:schemeClr w14:val="tx1"/>
                        </w14:solidFill>
                      </w14:textFill>
                    </w:rPr>
                    <w:t>3</w:t>
                  </w: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厂界西面外1m</w:t>
                  </w:r>
                </w:p>
              </w:tc>
              <w:tc>
                <w:tcPr>
                  <w:tcW w:w="1663" w:type="dxa"/>
                  <w:shd w:val="clear" w:color="auto" w:fill="FFFFFF"/>
                  <w:vAlign w:val="center"/>
                </w:tcPr>
                <w:p w14:paraId="7E91B9B9">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2021.11.14</w:t>
                  </w:r>
                </w:p>
              </w:tc>
              <w:tc>
                <w:tcPr>
                  <w:tcW w:w="671" w:type="pct"/>
                  <w:shd w:val="clear" w:color="auto" w:fill="FFFFFF"/>
                  <w:vAlign w:val="center"/>
                </w:tcPr>
                <w:p w14:paraId="7DE54161">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56.4</w:t>
                  </w:r>
                </w:p>
              </w:tc>
              <w:tc>
                <w:tcPr>
                  <w:tcW w:w="671" w:type="pct"/>
                  <w:shd w:val="clear" w:color="auto" w:fill="FFFFFF"/>
                  <w:vAlign w:val="center"/>
                </w:tcPr>
                <w:p w14:paraId="32CCB863">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3E17B550">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47.8</w:t>
                  </w:r>
                </w:p>
              </w:tc>
              <w:tc>
                <w:tcPr>
                  <w:tcW w:w="672" w:type="pct"/>
                  <w:shd w:val="clear" w:color="auto" w:fill="FFFFFF"/>
                  <w:vAlign w:val="center"/>
                </w:tcPr>
                <w:p w14:paraId="71E65AC6">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5A5C0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1271" w:type="pct"/>
                  <w:vMerge w:val="continue"/>
                  <w:shd w:val="clear" w:color="auto" w:fill="FFFFFF"/>
                  <w:vAlign w:val="center"/>
                </w:tcPr>
                <w:p w14:paraId="4138E881">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1663" w:type="dxa"/>
                  <w:shd w:val="clear" w:color="auto" w:fill="FFFFFF"/>
                  <w:vAlign w:val="center"/>
                </w:tcPr>
                <w:p w14:paraId="27BD5EC3">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2021.11.15</w:t>
                  </w:r>
                </w:p>
              </w:tc>
              <w:tc>
                <w:tcPr>
                  <w:tcW w:w="671" w:type="pct"/>
                  <w:shd w:val="clear" w:color="auto" w:fill="FFFFFF"/>
                  <w:vAlign w:val="center"/>
                </w:tcPr>
                <w:p w14:paraId="43048AD2">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57.3</w:t>
                  </w:r>
                </w:p>
              </w:tc>
              <w:tc>
                <w:tcPr>
                  <w:tcW w:w="671" w:type="pct"/>
                  <w:shd w:val="clear" w:color="auto" w:fill="FFFFFF"/>
                  <w:vAlign w:val="center"/>
                </w:tcPr>
                <w:p w14:paraId="413B2922">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0EAEAC3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47.2</w:t>
                  </w:r>
                </w:p>
              </w:tc>
              <w:tc>
                <w:tcPr>
                  <w:tcW w:w="672" w:type="pct"/>
                  <w:shd w:val="clear" w:color="auto" w:fill="FFFFFF"/>
                  <w:vAlign w:val="center"/>
                </w:tcPr>
                <w:p w14:paraId="4B8EA819">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2A296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1271" w:type="pct"/>
                  <w:vMerge w:val="restart"/>
                  <w:shd w:val="clear" w:color="auto" w:fill="FFFFFF"/>
                  <w:vAlign w:val="center"/>
                </w:tcPr>
                <w:p w14:paraId="53F0DF9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N</w:t>
                  </w:r>
                  <w:r>
                    <w:rPr>
                      <w:rFonts w:hint="default" w:ascii="Times New Roman" w:hAnsi="Times New Roman" w:cs="Times New Roman"/>
                      <w:b w:val="0"/>
                      <w:bCs w:val="0"/>
                      <w:color w:val="000000" w:themeColor="text1"/>
                      <w:szCs w:val="21"/>
                      <w:highlight w:val="none"/>
                      <w:u w:val="none" w:color="auto"/>
                      <w:vertAlign w:val="subscript"/>
                      <w14:textFill>
                        <w14:solidFill>
                          <w14:schemeClr w14:val="tx1"/>
                        </w14:solidFill>
                      </w14:textFill>
                    </w:rPr>
                    <w:t>4</w:t>
                  </w: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厂界北面外1m</w:t>
                  </w:r>
                </w:p>
              </w:tc>
              <w:tc>
                <w:tcPr>
                  <w:tcW w:w="1663" w:type="dxa"/>
                  <w:shd w:val="clear" w:color="auto" w:fill="FFFFFF"/>
                  <w:vAlign w:val="center"/>
                </w:tcPr>
                <w:p w14:paraId="6406DE59">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2021.11.14</w:t>
                  </w:r>
                </w:p>
              </w:tc>
              <w:tc>
                <w:tcPr>
                  <w:tcW w:w="671" w:type="pct"/>
                  <w:shd w:val="clear" w:color="auto" w:fill="FFFFFF"/>
                  <w:vAlign w:val="center"/>
                </w:tcPr>
                <w:p w14:paraId="4AB5D7C1">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57.7</w:t>
                  </w:r>
                </w:p>
              </w:tc>
              <w:tc>
                <w:tcPr>
                  <w:tcW w:w="671" w:type="pct"/>
                  <w:shd w:val="clear" w:color="auto" w:fill="FFFFFF"/>
                  <w:vAlign w:val="center"/>
                </w:tcPr>
                <w:p w14:paraId="1D5A302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1BB2E080">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47.4</w:t>
                  </w:r>
                </w:p>
              </w:tc>
              <w:tc>
                <w:tcPr>
                  <w:tcW w:w="672" w:type="pct"/>
                  <w:shd w:val="clear" w:color="auto" w:fill="FFFFFF"/>
                  <w:vAlign w:val="center"/>
                </w:tcPr>
                <w:p w14:paraId="54762A63">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r w14:paraId="5B835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330" w:hRule="atLeast"/>
                <w:jc w:val="center"/>
              </w:trPr>
              <w:tc>
                <w:tcPr>
                  <w:tcW w:w="1271" w:type="pct"/>
                  <w:vMerge w:val="continue"/>
                  <w:shd w:val="clear" w:color="auto" w:fill="FFFFFF"/>
                  <w:vAlign w:val="center"/>
                </w:tcPr>
                <w:p w14:paraId="1695C6EC">
                  <w:pPr>
                    <w:widowControl/>
                    <w:jc w:val="left"/>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p>
              </w:tc>
              <w:tc>
                <w:tcPr>
                  <w:tcW w:w="1663" w:type="dxa"/>
                  <w:shd w:val="clear" w:color="auto" w:fill="FFFFFF"/>
                  <w:vAlign w:val="center"/>
                </w:tcPr>
                <w:p w14:paraId="029594BC">
                  <w:pPr>
                    <w:jc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2021.11.15</w:t>
                  </w:r>
                </w:p>
              </w:tc>
              <w:tc>
                <w:tcPr>
                  <w:tcW w:w="671" w:type="pct"/>
                  <w:shd w:val="clear" w:color="auto" w:fill="FFFFFF"/>
                  <w:vAlign w:val="center"/>
                </w:tcPr>
                <w:p w14:paraId="2C825598">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58.2</w:t>
                  </w:r>
                </w:p>
              </w:tc>
              <w:tc>
                <w:tcPr>
                  <w:tcW w:w="671" w:type="pct"/>
                  <w:shd w:val="clear" w:color="auto" w:fill="FFFFFF"/>
                  <w:vAlign w:val="center"/>
                </w:tcPr>
                <w:p w14:paraId="3349539E">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65</w:t>
                  </w:r>
                </w:p>
              </w:tc>
              <w:tc>
                <w:tcPr>
                  <w:tcW w:w="671" w:type="pct"/>
                  <w:shd w:val="clear" w:color="auto" w:fill="FFFFFF"/>
                  <w:vAlign w:val="center"/>
                </w:tcPr>
                <w:p w14:paraId="0817D69C">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46.9</w:t>
                  </w:r>
                </w:p>
              </w:tc>
              <w:tc>
                <w:tcPr>
                  <w:tcW w:w="672" w:type="pct"/>
                  <w:shd w:val="clear" w:color="auto" w:fill="FFFFFF"/>
                  <w:vAlign w:val="center"/>
                </w:tcPr>
                <w:p w14:paraId="109C122B">
                  <w:pPr>
                    <w:widowControl/>
                    <w:jc w:val="center"/>
                    <w:textAlignment w:val="cente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pPr>
                  <w:r>
                    <w:rPr>
                      <w:rFonts w:hint="default" w:ascii="Times New Roman" w:hAnsi="Times New Roman" w:cs="Times New Roman"/>
                      <w:b w:val="0"/>
                      <w:bCs w:val="0"/>
                      <w:color w:val="000000" w:themeColor="text1"/>
                      <w:szCs w:val="21"/>
                      <w:highlight w:val="none"/>
                      <w:u w:val="none" w:color="auto"/>
                      <w14:textFill>
                        <w14:solidFill>
                          <w14:schemeClr w14:val="tx1"/>
                        </w14:solidFill>
                      </w14:textFill>
                    </w:rPr>
                    <w:t>55</w:t>
                  </w:r>
                </w:p>
              </w:tc>
            </w:tr>
          </w:tbl>
          <w:p w14:paraId="529A2AEC">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由上表监测结果可知：本项目厂界东侧（N</w:t>
            </w:r>
            <w:r>
              <w:rPr>
                <w:rFonts w:hint="default" w:ascii="Times New Roman" w:hAnsi="Times New Roman" w:cs="Times New Roman"/>
                <w:color w:val="000000" w:themeColor="text1"/>
                <w:sz w:val="24"/>
                <w:highlight w:val="none"/>
                <w:vertAlign w:val="subscript"/>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）、南侧（N</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）、西侧（N</w:t>
            </w:r>
            <w:r>
              <w:rPr>
                <w:rFonts w:hint="default" w:ascii="Times New Roman" w:hAnsi="Times New Roman" w:cs="Times New Roman"/>
                <w:color w:val="000000" w:themeColor="text1"/>
                <w:sz w:val="24"/>
                <w:highlight w:val="none"/>
                <w:vertAlign w:val="sub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）、北侧（N</w:t>
            </w:r>
            <w:r>
              <w:rPr>
                <w:rFonts w:hint="default" w:ascii="Times New Roman" w:hAnsi="Times New Roman" w:cs="Times New Roman"/>
                <w:color w:val="000000" w:themeColor="text1"/>
                <w:sz w:val="24"/>
                <w:highlight w:val="none"/>
                <w:vertAlign w:val="subscript"/>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）外1m处监测点位中昼间监测结果均符合《工业企业厂界环境噪声排放标准》（GB12348-2008）3类标准限值要求</w:t>
            </w:r>
          </w:p>
          <w:p w14:paraId="7F6D7094">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3）废水</w:t>
            </w:r>
          </w:p>
          <w:p w14:paraId="2484DD98">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本建设项目无生产废水产生，员工生活污水经化粪池处理后经污水管网排入大浦污水处理厂，最终经污水处理厂处理达到《城镇污水处理厂污染物排放标准》（GB18918-2002）中一级A标准后排入湘江。</w:t>
            </w:r>
          </w:p>
          <w:p w14:paraId="1835E591">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湖南林晟检测环境有限公司于2021年11月14日-15日对衡阳市朝阳重机有限公司生活污水进行了监测，监测结果见下表。</w:t>
            </w:r>
          </w:p>
          <w:p w14:paraId="66B49AE1">
            <w:pPr>
              <w:pStyle w:val="73"/>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表2-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19</w:t>
            </w:r>
            <w:r>
              <w:rPr>
                <w:rFonts w:hint="default" w:ascii="Times New Roman" w:hAnsi="Times New Roman" w:cs="Times New Roman"/>
                <w:color w:val="000000" w:themeColor="text1"/>
                <w:sz w:val="21"/>
                <w:szCs w:val="21"/>
                <w:highlight w:val="none"/>
                <w14:textFill>
                  <w14:solidFill>
                    <w14:schemeClr w14:val="tx1"/>
                  </w14:solidFill>
                </w14:textFill>
              </w:rPr>
              <w:t xml:space="preserve">  项目废水监测结果（单位：mg/m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1171"/>
              <w:gridCol w:w="888"/>
              <w:gridCol w:w="1024"/>
              <w:gridCol w:w="879"/>
              <w:gridCol w:w="879"/>
              <w:gridCol w:w="879"/>
              <w:gridCol w:w="880"/>
              <w:gridCol w:w="897"/>
            </w:tblGrid>
            <w:tr w14:paraId="0C31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shd w:val="clear" w:color="auto" w:fill="auto"/>
                  <w:vAlign w:val="center"/>
                </w:tcPr>
                <w:p w14:paraId="39A69436">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采样点位</w:t>
                  </w:r>
                </w:p>
              </w:tc>
              <w:tc>
                <w:tcPr>
                  <w:tcW w:w="699" w:type="pct"/>
                  <w:vMerge w:val="restart"/>
                  <w:shd w:val="clear" w:color="auto" w:fill="auto"/>
                  <w:vAlign w:val="center"/>
                </w:tcPr>
                <w:p w14:paraId="4690B9BA">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采样日期</w:t>
                  </w:r>
                </w:p>
              </w:tc>
              <w:tc>
                <w:tcPr>
                  <w:tcW w:w="529" w:type="pct"/>
                  <w:vMerge w:val="restart"/>
                  <w:shd w:val="clear" w:color="auto" w:fill="auto"/>
                  <w:vAlign w:val="center"/>
                </w:tcPr>
                <w:p w14:paraId="3931F3C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监测频次</w:t>
                  </w:r>
                </w:p>
              </w:tc>
              <w:tc>
                <w:tcPr>
                  <w:tcW w:w="3246" w:type="pct"/>
                  <w:gridSpan w:val="6"/>
                  <w:shd w:val="clear" w:color="auto" w:fill="auto"/>
                  <w:vAlign w:val="center"/>
                </w:tcPr>
                <w:p w14:paraId="4C62FA8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检测结果（mg/L，pH值无量纲）</w:t>
                  </w:r>
                </w:p>
              </w:tc>
            </w:tr>
            <w:tr w14:paraId="3BE77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525" w:type="pct"/>
                  <w:vMerge w:val="continue"/>
                  <w:shd w:val="clear" w:color="auto" w:fill="auto"/>
                  <w:vAlign w:val="center"/>
                </w:tcPr>
                <w:p w14:paraId="506A7A40">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1FE0C3F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vMerge w:val="continue"/>
                  <w:shd w:val="clear" w:color="auto" w:fill="auto"/>
                  <w:vAlign w:val="center"/>
                </w:tcPr>
                <w:p w14:paraId="0CCB997B">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11" w:type="pct"/>
                  <w:shd w:val="clear" w:color="auto" w:fill="auto"/>
                  <w:vAlign w:val="center"/>
                </w:tcPr>
                <w:p w14:paraId="79CBAB9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pH值</w:t>
                  </w:r>
                </w:p>
              </w:tc>
              <w:tc>
                <w:tcPr>
                  <w:tcW w:w="525" w:type="pct"/>
                  <w:shd w:val="clear" w:color="auto" w:fill="auto"/>
                  <w:vAlign w:val="center"/>
                </w:tcPr>
                <w:p w14:paraId="1583C57C">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COD</w:t>
                  </w:r>
                </w:p>
              </w:tc>
              <w:tc>
                <w:tcPr>
                  <w:tcW w:w="525" w:type="pct"/>
                  <w:shd w:val="clear" w:color="auto" w:fill="auto"/>
                  <w:vAlign w:val="center"/>
                </w:tcPr>
                <w:p w14:paraId="7B3BEDE6">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BOD5</w:t>
                  </w:r>
                </w:p>
              </w:tc>
              <w:tc>
                <w:tcPr>
                  <w:tcW w:w="525" w:type="pct"/>
                  <w:shd w:val="clear" w:color="auto" w:fill="auto"/>
                  <w:vAlign w:val="center"/>
                </w:tcPr>
                <w:p w14:paraId="4522982D">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SS</w:t>
                  </w:r>
                </w:p>
              </w:tc>
              <w:tc>
                <w:tcPr>
                  <w:tcW w:w="525" w:type="pct"/>
                  <w:shd w:val="clear" w:color="auto" w:fill="auto"/>
                  <w:vAlign w:val="center"/>
                </w:tcPr>
                <w:p w14:paraId="5B34C77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氨氮*</w:t>
                  </w:r>
                </w:p>
              </w:tc>
              <w:tc>
                <w:tcPr>
                  <w:tcW w:w="536" w:type="pct"/>
                  <w:shd w:val="clear" w:color="auto" w:fill="auto"/>
                  <w:vAlign w:val="center"/>
                </w:tcPr>
                <w:p w14:paraId="12D6221D">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动植物油</w:t>
                  </w:r>
                </w:p>
              </w:tc>
            </w:tr>
            <w:tr w14:paraId="41DAB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restart"/>
                  <w:shd w:val="clear" w:color="auto" w:fill="auto"/>
                  <w:vAlign w:val="center"/>
                </w:tcPr>
                <w:p w14:paraId="39D67504">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W1 废水排口</w:t>
                  </w:r>
                </w:p>
              </w:tc>
              <w:tc>
                <w:tcPr>
                  <w:tcW w:w="699" w:type="pct"/>
                  <w:vMerge w:val="restart"/>
                  <w:shd w:val="clear" w:color="auto" w:fill="auto"/>
                  <w:vAlign w:val="center"/>
                </w:tcPr>
                <w:p w14:paraId="7353FF14">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2021.11.14</w:t>
                  </w:r>
                </w:p>
              </w:tc>
              <w:tc>
                <w:tcPr>
                  <w:tcW w:w="529" w:type="pct"/>
                  <w:shd w:val="clear" w:color="auto" w:fill="auto"/>
                  <w:vAlign w:val="center"/>
                </w:tcPr>
                <w:p w14:paraId="786DA04B">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第1次</w:t>
                  </w:r>
                </w:p>
              </w:tc>
              <w:tc>
                <w:tcPr>
                  <w:tcW w:w="611" w:type="pct"/>
                  <w:shd w:val="clear" w:color="auto" w:fill="auto"/>
                  <w:vAlign w:val="center"/>
                </w:tcPr>
                <w:p w14:paraId="20AB4B2B">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6.76</w:t>
                  </w:r>
                </w:p>
              </w:tc>
              <w:tc>
                <w:tcPr>
                  <w:tcW w:w="525" w:type="pct"/>
                  <w:shd w:val="clear" w:color="auto" w:fill="auto"/>
                  <w:vAlign w:val="center"/>
                </w:tcPr>
                <w:p w14:paraId="666F7614">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478</w:t>
                  </w:r>
                </w:p>
              </w:tc>
              <w:tc>
                <w:tcPr>
                  <w:tcW w:w="525" w:type="pct"/>
                  <w:shd w:val="clear" w:color="auto" w:fill="auto"/>
                  <w:vAlign w:val="center"/>
                </w:tcPr>
                <w:p w14:paraId="5D11C5B7">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119</w:t>
                  </w:r>
                </w:p>
              </w:tc>
              <w:tc>
                <w:tcPr>
                  <w:tcW w:w="525" w:type="pct"/>
                  <w:shd w:val="clear" w:color="auto" w:fill="auto"/>
                  <w:vAlign w:val="center"/>
                </w:tcPr>
                <w:p w14:paraId="0DDADF44">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116</w:t>
                  </w:r>
                </w:p>
              </w:tc>
              <w:tc>
                <w:tcPr>
                  <w:tcW w:w="525" w:type="pct"/>
                  <w:shd w:val="clear" w:color="auto" w:fill="auto"/>
                  <w:vAlign w:val="center"/>
                </w:tcPr>
                <w:p w14:paraId="20B3E8C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2.78</w:t>
                  </w:r>
                </w:p>
              </w:tc>
              <w:tc>
                <w:tcPr>
                  <w:tcW w:w="536" w:type="pct"/>
                  <w:shd w:val="clear" w:color="auto" w:fill="auto"/>
                  <w:vAlign w:val="center"/>
                </w:tcPr>
                <w:p w14:paraId="30F4FEAB">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1.12</w:t>
                  </w:r>
                </w:p>
              </w:tc>
            </w:tr>
            <w:tr w14:paraId="534B7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7E7943C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0D29380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01563FA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第2次</w:t>
                  </w:r>
                </w:p>
              </w:tc>
              <w:tc>
                <w:tcPr>
                  <w:tcW w:w="611" w:type="pct"/>
                  <w:shd w:val="clear" w:color="auto" w:fill="auto"/>
                  <w:vAlign w:val="center"/>
                </w:tcPr>
                <w:p w14:paraId="64D3BEFB">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6.84</w:t>
                  </w:r>
                </w:p>
              </w:tc>
              <w:tc>
                <w:tcPr>
                  <w:tcW w:w="525" w:type="pct"/>
                  <w:shd w:val="clear" w:color="auto" w:fill="auto"/>
                  <w:vAlign w:val="center"/>
                </w:tcPr>
                <w:p w14:paraId="2A52859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476</w:t>
                  </w:r>
                </w:p>
              </w:tc>
              <w:tc>
                <w:tcPr>
                  <w:tcW w:w="525" w:type="pct"/>
                  <w:shd w:val="clear" w:color="auto" w:fill="auto"/>
                  <w:vAlign w:val="center"/>
                </w:tcPr>
                <w:p w14:paraId="3ADADD93">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117</w:t>
                  </w:r>
                </w:p>
              </w:tc>
              <w:tc>
                <w:tcPr>
                  <w:tcW w:w="525" w:type="pct"/>
                  <w:shd w:val="clear" w:color="auto" w:fill="auto"/>
                  <w:vAlign w:val="center"/>
                </w:tcPr>
                <w:p w14:paraId="79731855">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119</w:t>
                  </w:r>
                </w:p>
              </w:tc>
              <w:tc>
                <w:tcPr>
                  <w:tcW w:w="525" w:type="pct"/>
                  <w:shd w:val="clear" w:color="auto" w:fill="auto"/>
                  <w:vAlign w:val="center"/>
                </w:tcPr>
                <w:p w14:paraId="4F795D1B">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2.71</w:t>
                  </w:r>
                </w:p>
              </w:tc>
              <w:tc>
                <w:tcPr>
                  <w:tcW w:w="536" w:type="pct"/>
                  <w:shd w:val="clear" w:color="auto" w:fill="auto"/>
                  <w:vAlign w:val="center"/>
                </w:tcPr>
                <w:p w14:paraId="7DF5A1C2">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1.08</w:t>
                  </w:r>
                </w:p>
              </w:tc>
            </w:tr>
            <w:tr w14:paraId="11E79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1236162B">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3FFD31B5">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6F68CE88">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第3次</w:t>
                  </w:r>
                </w:p>
              </w:tc>
              <w:tc>
                <w:tcPr>
                  <w:tcW w:w="611" w:type="pct"/>
                  <w:shd w:val="clear" w:color="auto" w:fill="auto"/>
                  <w:vAlign w:val="center"/>
                </w:tcPr>
                <w:p w14:paraId="22C8392F">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6.72</w:t>
                  </w:r>
                </w:p>
              </w:tc>
              <w:tc>
                <w:tcPr>
                  <w:tcW w:w="525" w:type="pct"/>
                  <w:shd w:val="clear" w:color="auto" w:fill="auto"/>
                  <w:vAlign w:val="center"/>
                </w:tcPr>
                <w:p w14:paraId="76468AA0">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471</w:t>
                  </w:r>
                </w:p>
              </w:tc>
              <w:tc>
                <w:tcPr>
                  <w:tcW w:w="525" w:type="pct"/>
                  <w:shd w:val="clear" w:color="auto" w:fill="auto"/>
                  <w:vAlign w:val="center"/>
                </w:tcPr>
                <w:p w14:paraId="0B41121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118</w:t>
                  </w:r>
                </w:p>
              </w:tc>
              <w:tc>
                <w:tcPr>
                  <w:tcW w:w="525" w:type="pct"/>
                  <w:shd w:val="clear" w:color="auto" w:fill="auto"/>
                  <w:vAlign w:val="center"/>
                </w:tcPr>
                <w:p w14:paraId="5A5EC60E">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112</w:t>
                  </w:r>
                </w:p>
              </w:tc>
              <w:tc>
                <w:tcPr>
                  <w:tcW w:w="525" w:type="pct"/>
                  <w:shd w:val="clear" w:color="auto" w:fill="auto"/>
                  <w:vAlign w:val="center"/>
                </w:tcPr>
                <w:p w14:paraId="00E0E38D">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2.77</w:t>
                  </w:r>
                </w:p>
              </w:tc>
              <w:tc>
                <w:tcPr>
                  <w:tcW w:w="536" w:type="pct"/>
                  <w:shd w:val="clear" w:color="auto" w:fill="auto"/>
                  <w:vAlign w:val="center"/>
                </w:tcPr>
                <w:p w14:paraId="4E86513E">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1.10</w:t>
                  </w:r>
                </w:p>
              </w:tc>
            </w:tr>
            <w:tr w14:paraId="78569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7D10CAC9">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0840895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2EE0AB7D">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第4次</w:t>
                  </w:r>
                </w:p>
              </w:tc>
              <w:tc>
                <w:tcPr>
                  <w:tcW w:w="611" w:type="pct"/>
                  <w:shd w:val="clear" w:color="auto" w:fill="auto"/>
                  <w:vAlign w:val="center"/>
                </w:tcPr>
                <w:p w14:paraId="7C1FA3B0">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6.70</w:t>
                  </w:r>
                </w:p>
              </w:tc>
              <w:tc>
                <w:tcPr>
                  <w:tcW w:w="525" w:type="pct"/>
                  <w:shd w:val="clear" w:color="auto" w:fill="auto"/>
                  <w:vAlign w:val="center"/>
                </w:tcPr>
                <w:p w14:paraId="64D78980">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475</w:t>
                  </w:r>
                </w:p>
              </w:tc>
              <w:tc>
                <w:tcPr>
                  <w:tcW w:w="525" w:type="pct"/>
                  <w:shd w:val="clear" w:color="auto" w:fill="auto"/>
                  <w:vAlign w:val="center"/>
                </w:tcPr>
                <w:p w14:paraId="3BC2E95D">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116</w:t>
                  </w:r>
                </w:p>
              </w:tc>
              <w:tc>
                <w:tcPr>
                  <w:tcW w:w="525" w:type="pct"/>
                  <w:shd w:val="clear" w:color="auto" w:fill="auto"/>
                  <w:vAlign w:val="center"/>
                </w:tcPr>
                <w:p w14:paraId="3F7F63E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118</w:t>
                  </w:r>
                </w:p>
              </w:tc>
              <w:tc>
                <w:tcPr>
                  <w:tcW w:w="525" w:type="pct"/>
                  <w:shd w:val="clear" w:color="auto" w:fill="auto"/>
                  <w:vAlign w:val="center"/>
                </w:tcPr>
                <w:p w14:paraId="1528B44B">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2.69</w:t>
                  </w:r>
                </w:p>
              </w:tc>
              <w:tc>
                <w:tcPr>
                  <w:tcW w:w="536" w:type="pct"/>
                  <w:shd w:val="clear" w:color="auto" w:fill="auto"/>
                  <w:vAlign w:val="center"/>
                </w:tcPr>
                <w:p w14:paraId="55996222">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1.04</w:t>
                  </w:r>
                </w:p>
              </w:tc>
            </w:tr>
            <w:tr w14:paraId="3830D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2D07B18F">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1B337F83">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21AF7FC9">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平均值</w:t>
                  </w:r>
                </w:p>
              </w:tc>
              <w:tc>
                <w:tcPr>
                  <w:tcW w:w="611" w:type="pct"/>
                  <w:shd w:val="clear" w:color="auto" w:fill="auto"/>
                  <w:vAlign w:val="center"/>
                </w:tcPr>
                <w:p w14:paraId="64C60886">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6.70～6.84</w:t>
                  </w:r>
                </w:p>
              </w:tc>
              <w:tc>
                <w:tcPr>
                  <w:tcW w:w="525" w:type="pct"/>
                  <w:shd w:val="clear" w:color="auto" w:fill="auto"/>
                  <w:vAlign w:val="center"/>
                </w:tcPr>
                <w:p w14:paraId="1C41F9F6">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475</w:t>
                  </w:r>
                </w:p>
              </w:tc>
              <w:tc>
                <w:tcPr>
                  <w:tcW w:w="525" w:type="pct"/>
                  <w:shd w:val="clear" w:color="auto" w:fill="auto"/>
                  <w:vAlign w:val="center"/>
                </w:tcPr>
                <w:p w14:paraId="2A1F20D2">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117</w:t>
                  </w:r>
                </w:p>
              </w:tc>
              <w:tc>
                <w:tcPr>
                  <w:tcW w:w="525" w:type="pct"/>
                  <w:shd w:val="clear" w:color="auto" w:fill="auto"/>
                  <w:vAlign w:val="center"/>
                </w:tcPr>
                <w:p w14:paraId="073AD296">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118</w:t>
                  </w:r>
                </w:p>
              </w:tc>
              <w:tc>
                <w:tcPr>
                  <w:tcW w:w="525" w:type="pct"/>
                  <w:shd w:val="clear" w:color="auto" w:fill="auto"/>
                  <w:vAlign w:val="center"/>
                </w:tcPr>
                <w:p w14:paraId="76AD841A">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2.74</w:t>
                  </w:r>
                </w:p>
              </w:tc>
              <w:tc>
                <w:tcPr>
                  <w:tcW w:w="536" w:type="pct"/>
                  <w:shd w:val="clear" w:color="auto" w:fill="auto"/>
                  <w:vAlign w:val="center"/>
                </w:tcPr>
                <w:p w14:paraId="79B1E1D0">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1.08</w:t>
                  </w:r>
                </w:p>
              </w:tc>
            </w:tr>
            <w:tr w14:paraId="535AE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44FD145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restart"/>
                  <w:shd w:val="clear" w:color="auto" w:fill="auto"/>
                  <w:vAlign w:val="center"/>
                </w:tcPr>
                <w:p w14:paraId="3C0331D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2021.11.15</w:t>
                  </w:r>
                </w:p>
              </w:tc>
              <w:tc>
                <w:tcPr>
                  <w:tcW w:w="529" w:type="pct"/>
                  <w:shd w:val="clear" w:color="auto" w:fill="auto"/>
                  <w:vAlign w:val="center"/>
                </w:tcPr>
                <w:p w14:paraId="619AE655">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第1次</w:t>
                  </w:r>
                </w:p>
              </w:tc>
              <w:tc>
                <w:tcPr>
                  <w:tcW w:w="611" w:type="pct"/>
                  <w:shd w:val="clear" w:color="auto" w:fill="auto"/>
                  <w:vAlign w:val="center"/>
                </w:tcPr>
                <w:p w14:paraId="0E8328B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6.74</w:t>
                  </w:r>
                </w:p>
              </w:tc>
              <w:tc>
                <w:tcPr>
                  <w:tcW w:w="525" w:type="pct"/>
                  <w:shd w:val="clear" w:color="auto" w:fill="auto"/>
                  <w:vAlign w:val="center"/>
                </w:tcPr>
                <w:p w14:paraId="58BCD1A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479</w:t>
                  </w:r>
                </w:p>
              </w:tc>
              <w:tc>
                <w:tcPr>
                  <w:tcW w:w="525" w:type="pct"/>
                  <w:shd w:val="clear" w:color="auto" w:fill="auto"/>
                  <w:vAlign w:val="center"/>
                </w:tcPr>
                <w:p w14:paraId="5EC4258C">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117</w:t>
                  </w:r>
                </w:p>
              </w:tc>
              <w:tc>
                <w:tcPr>
                  <w:tcW w:w="525" w:type="pct"/>
                  <w:shd w:val="clear" w:color="auto" w:fill="auto"/>
                  <w:vAlign w:val="center"/>
                </w:tcPr>
                <w:p w14:paraId="25E14DF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118</w:t>
                  </w:r>
                </w:p>
              </w:tc>
              <w:tc>
                <w:tcPr>
                  <w:tcW w:w="525" w:type="pct"/>
                  <w:shd w:val="clear" w:color="auto" w:fill="auto"/>
                  <w:vAlign w:val="center"/>
                </w:tcPr>
                <w:p w14:paraId="4F77E77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2.73</w:t>
                  </w:r>
                </w:p>
              </w:tc>
              <w:tc>
                <w:tcPr>
                  <w:tcW w:w="536" w:type="pct"/>
                  <w:shd w:val="clear" w:color="auto" w:fill="auto"/>
                  <w:vAlign w:val="center"/>
                </w:tcPr>
                <w:p w14:paraId="45F7ED64">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1.09</w:t>
                  </w:r>
                </w:p>
              </w:tc>
            </w:tr>
            <w:tr w14:paraId="204BF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6145C56C">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4CB3AF6D">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245DD7B8">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第2次</w:t>
                  </w:r>
                </w:p>
              </w:tc>
              <w:tc>
                <w:tcPr>
                  <w:tcW w:w="611" w:type="pct"/>
                  <w:shd w:val="clear" w:color="auto" w:fill="auto"/>
                  <w:vAlign w:val="center"/>
                </w:tcPr>
                <w:p w14:paraId="3F296FA2">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6.91</w:t>
                  </w:r>
                </w:p>
              </w:tc>
              <w:tc>
                <w:tcPr>
                  <w:tcW w:w="525" w:type="pct"/>
                  <w:shd w:val="clear" w:color="auto" w:fill="auto"/>
                  <w:vAlign w:val="center"/>
                </w:tcPr>
                <w:p w14:paraId="33AC5FC3">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474</w:t>
                  </w:r>
                </w:p>
              </w:tc>
              <w:tc>
                <w:tcPr>
                  <w:tcW w:w="525" w:type="pct"/>
                  <w:shd w:val="clear" w:color="auto" w:fill="auto"/>
                  <w:vAlign w:val="center"/>
                </w:tcPr>
                <w:p w14:paraId="76E2815F">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118</w:t>
                  </w:r>
                </w:p>
              </w:tc>
              <w:tc>
                <w:tcPr>
                  <w:tcW w:w="525" w:type="pct"/>
                  <w:shd w:val="clear" w:color="auto" w:fill="auto"/>
                  <w:vAlign w:val="center"/>
                </w:tcPr>
                <w:p w14:paraId="6A8A08EE">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114</w:t>
                  </w:r>
                </w:p>
              </w:tc>
              <w:tc>
                <w:tcPr>
                  <w:tcW w:w="525" w:type="pct"/>
                  <w:shd w:val="clear" w:color="auto" w:fill="auto"/>
                  <w:vAlign w:val="center"/>
                </w:tcPr>
                <w:p w14:paraId="4C857032">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2.77</w:t>
                  </w:r>
                </w:p>
              </w:tc>
              <w:tc>
                <w:tcPr>
                  <w:tcW w:w="536" w:type="pct"/>
                  <w:shd w:val="clear" w:color="auto" w:fill="auto"/>
                  <w:vAlign w:val="center"/>
                </w:tcPr>
                <w:p w14:paraId="362E10EC">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1.09</w:t>
                  </w:r>
                </w:p>
              </w:tc>
            </w:tr>
            <w:tr w14:paraId="7FEA8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1C5BCBA7">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08A073C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0E855B6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第3次</w:t>
                  </w:r>
                </w:p>
              </w:tc>
              <w:tc>
                <w:tcPr>
                  <w:tcW w:w="611" w:type="pct"/>
                  <w:shd w:val="clear" w:color="auto" w:fill="auto"/>
                  <w:vAlign w:val="center"/>
                </w:tcPr>
                <w:p w14:paraId="2D1133CC">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6.83</w:t>
                  </w:r>
                </w:p>
              </w:tc>
              <w:tc>
                <w:tcPr>
                  <w:tcW w:w="525" w:type="pct"/>
                  <w:shd w:val="clear" w:color="auto" w:fill="auto"/>
                  <w:vAlign w:val="center"/>
                </w:tcPr>
                <w:p w14:paraId="07FCF2BA">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473</w:t>
                  </w:r>
                </w:p>
              </w:tc>
              <w:tc>
                <w:tcPr>
                  <w:tcW w:w="525" w:type="pct"/>
                  <w:shd w:val="clear" w:color="auto" w:fill="auto"/>
                  <w:vAlign w:val="center"/>
                </w:tcPr>
                <w:p w14:paraId="0DF88657">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121</w:t>
                  </w:r>
                </w:p>
              </w:tc>
              <w:tc>
                <w:tcPr>
                  <w:tcW w:w="525" w:type="pct"/>
                  <w:shd w:val="clear" w:color="auto" w:fill="auto"/>
                  <w:vAlign w:val="center"/>
                </w:tcPr>
                <w:p w14:paraId="124676FF">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114</w:t>
                  </w:r>
                </w:p>
              </w:tc>
              <w:tc>
                <w:tcPr>
                  <w:tcW w:w="525" w:type="pct"/>
                  <w:shd w:val="clear" w:color="auto" w:fill="auto"/>
                  <w:vAlign w:val="center"/>
                </w:tcPr>
                <w:p w14:paraId="344FE1BD">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2.70</w:t>
                  </w:r>
                </w:p>
              </w:tc>
              <w:tc>
                <w:tcPr>
                  <w:tcW w:w="536" w:type="pct"/>
                  <w:shd w:val="clear" w:color="auto" w:fill="auto"/>
                  <w:vAlign w:val="center"/>
                </w:tcPr>
                <w:p w14:paraId="7793E5F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1.05</w:t>
                  </w:r>
                </w:p>
              </w:tc>
            </w:tr>
            <w:tr w14:paraId="0E231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63ECF196">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13FCF185">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69CA2F9D">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第4次</w:t>
                  </w:r>
                </w:p>
              </w:tc>
              <w:tc>
                <w:tcPr>
                  <w:tcW w:w="611" w:type="pct"/>
                  <w:shd w:val="clear" w:color="auto" w:fill="auto"/>
                  <w:vAlign w:val="center"/>
                </w:tcPr>
                <w:p w14:paraId="0C919200">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6.76</w:t>
                  </w:r>
                </w:p>
              </w:tc>
              <w:tc>
                <w:tcPr>
                  <w:tcW w:w="525" w:type="pct"/>
                  <w:shd w:val="clear" w:color="auto" w:fill="auto"/>
                  <w:vAlign w:val="center"/>
                </w:tcPr>
                <w:p w14:paraId="479AB60F">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472</w:t>
                  </w:r>
                </w:p>
              </w:tc>
              <w:tc>
                <w:tcPr>
                  <w:tcW w:w="525" w:type="pct"/>
                  <w:shd w:val="clear" w:color="auto" w:fill="auto"/>
                  <w:vAlign w:val="center"/>
                </w:tcPr>
                <w:p w14:paraId="15472FCC">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120</w:t>
                  </w:r>
                </w:p>
              </w:tc>
              <w:tc>
                <w:tcPr>
                  <w:tcW w:w="525" w:type="pct"/>
                  <w:shd w:val="clear" w:color="auto" w:fill="auto"/>
                  <w:vAlign w:val="center"/>
                </w:tcPr>
                <w:p w14:paraId="6701707C">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115</w:t>
                  </w:r>
                </w:p>
              </w:tc>
              <w:tc>
                <w:tcPr>
                  <w:tcW w:w="525" w:type="pct"/>
                  <w:shd w:val="clear" w:color="auto" w:fill="auto"/>
                  <w:vAlign w:val="center"/>
                </w:tcPr>
                <w:p w14:paraId="3D453AE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2.66</w:t>
                  </w:r>
                </w:p>
              </w:tc>
              <w:tc>
                <w:tcPr>
                  <w:tcW w:w="536" w:type="pct"/>
                  <w:shd w:val="clear" w:color="auto" w:fill="auto"/>
                  <w:vAlign w:val="center"/>
                </w:tcPr>
                <w:p w14:paraId="23F1CBC5">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1.11</w:t>
                  </w:r>
                </w:p>
              </w:tc>
            </w:tr>
            <w:tr w14:paraId="7C75C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5" w:type="pct"/>
                  <w:vMerge w:val="continue"/>
                  <w:shd w:val="clear" w:color="auto" w:fill="auto"/>
                  <w:vAlign w:val="center"/>
                </w:tcPr>
                <w:p w14:paraId="733E59D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699" w:type="pct"/>
                  <w:vMerge w:val="continue"/>
                  <w:shd w:val="clear" w:color="auto" w:fill="auto"/>
                  <w:vAlign w:val="center"/>
                </w:tcPr>
                <w:p w14:paraId="3A0A7F07">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p>
              </w:tc>
              <w:tc>
                <w:tcPr>
                  <w:tcW w:w="529" w:type="pct"/>
                  <w:shd w:val="clear" w:color="auto" w:fill="auto"/>
                  <w:vAlign w:val="center"/>
                </w:tcPr>
                <w:p w14:paraId="3FB8003E">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平均值</w:t>
                  </w:r>
                </w:p>
              </w:tc>
              <w:tc>
                <w:tcPr>
                  <w:tcW w:w="611" w:type="pct"/>
                  <w:shd w:val="clear" w:color="auto" w:fill="auto"/>
                  <w:vAlign w:val="center"/>
                </w:tcPr>
                <w:p w14:paraId="10EE160E">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6.74～6.91</w:t>
                  </w:r>
                </w:p>
              </w:tc>
              <w:tc>
                <w:tcPr>
                  <w:tcW w:w="525" w:type="pct"/>
                  <w:shd w:val="clear" w:color="auto" w:fill="auto"/>
                  <w:vAlign w:val="center"/>
                </w:tcPr>
                <w:p w14:paraId="18D0CE2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474</w:t>
                  </w:r>
                </w:p>
              </w:tc>
              <w:tc>
                <w:tcPr>
                  <w:tcW w:w="525" w:type="pct"/>
                  <w:shd w:val="clear" w:color="auto" w:fill="auto"/>
                  <w:vAlign w:val="center"/>
                </w:tcPr>
                <w:p w14:paraId="1D81C1C7">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119</w:t>
                  </w:r>
                </w:p>
              </w:tc>
              <w:tc>
                <w:tcPr>
                  <w:tcW w:w="525" w:type="pct"/>
                  <w:shd w:val="clear" w:color="auto" w:fill="auto"/>
                  <w:vAlign w:val="center"/>
                </w:tcPr>
                <w:p w14:paraId="15F3C2B1">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115</w:t>
                  </w:r>
                </w:p>
              </w:tc>
              <w:tc>
                <w:tcPr>
                  <w:tcW w:w="525" w:type="pct"/>
                  <w:shd w:val="clear" w:color="auto" w:fill="auto"/>
                  <w:vAlign w:val="center"/>
                </w:tcPr>
                <w:p w14:paraId="4380BA25">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2.72</w:t>
                  </w:r>
                </w:p>
              </w:tc>
              <w:tc>
                <w:tcPr>
                  <w:tcW w:w="536" w:type="pct"/>
                  <w:shd w:val="clear" w:color="auto" w:fill="auto"/>
                  <w:vAlign w:val="center"/>
                </w:tcPr>
                <w:p w14:paraId="3C71FFF9">
                  <w:pPr>
                    <w:adjustRightInd w:val="0"/>
                    <w:jc w:val="center"/>
                    <w:textAlignment w:val="center"/>
                    <w:rPr>
                      <w:rFonts w:hint="default" w:ascii="Times New Roman" w:hAnsi="Times New Roman" w:cs="Times New Roman"/>
                      <w:color w:val="000000" w:themeColor="text1"/>
                      <w:spacing w:val="-5"/>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1.08</w:t>
                  </w:r>
                </w:p>
              </w:tc>
            </w:tr>
            <w:tr w14:paraId="355C3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1754" w:type="pct"/>
                  <w:gridSpan w:val="3"/>
                  <w:shd w:val="clear" w:color="auto" w:fill="auto"/>
                  <w:vAlign w:val="center"/>
                </w:tcPr>
                <w:p w14:paraId="4D7FD7B9">
                  <w:pPr>
                    <w:pStyle w:val="95"/>
                    <w:spacing w:before="0" w:after="0"/>
                    <w:ind w:right="0"/>
                    <w:jc w:val="both"/>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GB8978-1996表4三级标准</w:t>
                  </w:r>
                </w:p>
              </w:tc>
              <w:tc>
                <w:tcPr>
                  <w:tcW w:w="611" w:type="pct"/>
                  <w:shd w:val="clear" w:color="auto" w:fill="auto"/>
                  <w:vAlign w:val="center"/>
                </w:tcPr>
                <w:p w14:paraId="3C83A79A">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6~9</w:t>
                  </w:r>
                </w:p>
              </w:tc>
              <w:tc>
                <w:tcPr>
                  <w:tcW w:w="525" w:type="pct"/>
                  <w:shd w:val="clear" w:color="auto" w:fill="auto"/>
                  <w:vAlign w:val="center"/>
                </w:tcPr>
                <w:p w14:paraId="21C19F28">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500</w:t>
                  </w:r>
                </w:p>
              </w:tc>
              <w:tc>
                <w:tcPr>
                  <w:tcW w:w="525" w:type="pct"/>
                  <w:shd w:val="clear" w:color="auto" w:fill="auto"/>
                  <w:vAlign w:val="center"/>
                </w:tcPr>
                <w:p w14:paraId="1C037DB4">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300</w:t>
                  </w:r>
                </w:p>
              </w:tc>
              <w:tc>
                <w:tcPr>
                  <w:tcW w:w="525" w:type="pct"/>
                  <w:shd w:val="clear" w:color="auto" w:fill="auto"/>
                  <w:vAlign w:val="center"/>
                </w:tcPr>
                <w:p w14:paraId="4CFA1065">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400</w:t>
                  </w:r>
                </w:p>
              </w:tc>
              <w:tc>
                <w:tcPr>
                  <w:tcW w:w="525" w:type="pct"/>
                  <w:shd w:val="clear" w:color="auto" w:fill="auto"/>
                  <w:vAlign w:val="center"/>
                </w:tcPr>
                <w:p w14:paraId="3053E0C3">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536" w:type="pct"/>
                  <w:shd w:val="clear" w:color="auto" w:fill="auto"/>
                  <w:vAlign w:val="center"/>
                </w:tcPr>
                <w:p w14:paraId="1CE26C2A">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100</w:t>
                  </w:r>
                </w:p>
              </w:tc>
            </w:tr>
            <w:tr w14:paraId="179BF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4" w:type="pct"/>
                  <w:gridSpan w:val="3"/>
                  <w:shd w:val="clear" w:color="auto" w:fill="auto"/>
                  <w:vAlign w:val="center"/>
                </w:tcPr>
                <w:p w14:paraId="2E2F1101">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是否符合标准</w:t>
                  </w:r>
                </w:p>
              </w:tc>
              <w:tc>
                <w:tcPr>
                  <w:tcW w:w="611" w:type="pct"/>
                  <w:shd w:val="clear" w:color="auto" w:fill="auto"/>
                  <w:vAlign w:val="center"/>
                </w:tcPr>
                <w:p w14:paraId="5EAC275B">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c>
                <w:tcPr>
                  <w:tcW w:w="525" w:type="pct"/>
                  <w:shd w:val="clear" w:color="auto" w:fill="auto"/>
                  <w:vAlign w:val="center"/>
                </w:tcPr>
                <w:p w14:paraId="0D6EBFA7">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c>
                <w:tcPr>
                  <w:tcW w:w="525" w:type="pct"/>
                  <w:shd w:val="clear" w:color="auto" w:fill="auto"/>
                  <w:vAlign w:val="center"/>
                </w:tcPr>
                <w:p w14:paraId="6CBB2B3A">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c>
                <w:tcPr>
                  <w:tcW w:w="525" w:type="pct"/>
                  <w:shd w:val="clear" w:color="auto" w:fill="auto"/>
                  <w:vAlign w:val="center"/>
                </w:tcPr>
                <w:p w14:paraId="63764DCC">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c>
                <w:tcPr>
                  <w:tcW w:w="525" w:type="pct"/>
                  <w:shd w:val="clear" w:color="auto" w:fill="auto"/>
                  <w:vAlign w:val="center"/>
                </w:tcPr>
                <w:p w14:paraId="4C938385">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536" w:type="pct"/>
                  <w:shd w:val="clear" w:color="auto" w:fill="auto"/>
                  <w:vAlign w:val="center"/>
                </w:tcPr>
                <w:p w14:paraId="52295B2F">
                  <w:pPr>
                    <w:pStyle w:val="95"/>
                    <w:spacing w:before="0" w:after="0"/>
                    <w:ind w:righ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符合</w:t>
                  </w:r>
                </w:p>
              </w:tc>
            </w:tr>
          </w:tbl>
          <w:p w14:paraId="55D4DF13">
            <w:pPr>
              <w:spacing w:line="360" w:lineRule="auto"/>
              <w:ind w:firstLine="480" w:firstLineChars="200"/>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由上表监测结果可知：本项目生活污水经化粪池处理后，废水中的pH值、COD、BOD</w:t>
            </w:r>
            <w:r>
              <w:rPr>
                <w:rFonts w:hint="default" w:ascii="Times New Roman" w:hAnsi="Times New Roman" w:cs="Times New Roman"/>
                <w:color w:val="000000" w:themeColor="text1"/>
                <w:sz w:val="24"/>
                <w:highlight w:val="none"/>
                <w:vertAlign w:val="subscript"/>
                <w14:textFill>
                  <w14:solidFill>
                    <w14:schemeClr w14:val="tx1"/>
                  </w14:solidFill>
                </w14:textFill>
              </w:rPr>
              <w:t>5</w:t>
            </w:r>
            <w:r>
              <w:rPr>
                <w:rFonts w:hint="default" w:ascii="Times New Roman" w:hAnsi="Times New Roman" w:cs="Times New Roman"/>
                <w:color w:val="000000" w:themeColor="text1"/>
                <w:sz w:val="24"/>
                <w:highlight w:val="none"/>
                <w14:textFill>
                  <w14:solidFill>
                    <w14:schemeClr w14:val="tx1"/>
                  </w14:solidFill>
                </w14:textFill>
              </w:rPr>
              <w:t>、SS、动植物油的排放浓度均符合《污水综合排放标准》（GB8978-1996）中表4三级标准。</w:t>
            </w:r>
          </w:p>
          <w:p w14:paraId="627EBCA2">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4）固体废物</w:t>
            </w:r>
          </w:p>
          <w:p w14:paraId="33177FCC">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产生的一般工业固废为边角钢料、机加工废料、沉降的金属碎屑及尘灰、布袋收尘、废钢砂、废焊条、焊渣，收集后外售；危险废物为废液压油、废乳化液、废油漆桶、稀释溶剂桶、废油桶、废过滤棉、废UV灯管、漆渣、废活性炭暂存于危废暂存间，定期委托有资质单位处理；生活垃圾交由环卫部门收集处理。项目所有固废全部得到合理处置，对当地环境没有影响。</w:t>
            </w:r>
          </w:p>
          <w:p w14:paraId="278E92FF">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（4）现有工程污染物排放情况</w:t>
            </w:r>
          </w:p>
          <w:p w14:paraId="23AA0AF8">
            <w:pPr>
              <w:snapToGrid w:val="0"/>
              <w:spacing w:line="360" w:lineRule="auto"/>
              <w:ind w:firstLine="480" w:firstLineChars="200"/>
              <w:contextualSpacing/>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根据《高效节能制砂、制石成套系统及重装设备建设项目环境影响评价报告表》，现有工程污染物排放情况具体见下表。</w:t>
            </w:r>
          </w:p>
          <w:p w14:paraId="4D7386C3">
            <w:pPr>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表2-2</w:t>
            </w:r>
            <w:r>
              <w:rPr>
                <w:rFonts w:hint="default" w:ascii="Times New Roman" w:hAnsi="Times New Roman" w:cs="Times New Roman"/>
                <w:b/>
                <w:bCs/>
                <w:color w:val="000000" w:themeColor="text1"/>
                <w:highlight w:val="none"/>
                <w:lang w:val="en-US" w:eastAsia="zh-CN"/>
                <w14:textFill>
                  <w14:solidFill>
                    <w14:schemeClr w14:val="tx1"/>
                  </w14:solidFill>
                </w14:textFill>
              </w:rPr>
              <w:t>.</w:t>
            </w:r>
            <w:r>
              <w:rPr>
                <w:rFonts w:hint="default" w:ascii="Times New Roman" w:hAnsi="Times New Roman" w:cs="Times New Roman"/>
                <w:b/>
                <w:bCs/>
                <w:color w:val="000000" w:themeColor="text1"/>
                <w:highlight w:val="none"/>
                <w14:textFill>
                  <w14:solidFill>
                    <w14:schemeClr w14:val="tx1"/>
                  </w14:solidFill>
                </w14:textFill>
              </w:rPr>
              <w:t xml:space="preserve">   本项目现有工程污染物排放情况汇总</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791"/>
              <w:gridCol w:w="1375"/>
              <w:gridCol w:w="1537"/>
              <w:gridCol w:w="1745"/>
              <w:gridCol w:w="1870"/>
            </w:tblGrid>
            <w:tr w14:paraId="29A88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Align w:val="center"/>
                </w:tcPr>
                <w:p w14:paraId="6405C94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内容</w:t>
                  </w:r>
                </w:p>
              </w:tc>
              <w:tc>
                <w:tcPr>
                  <w:tcW w:w="472" w:type="pct"/>
                  <w:vAlign w:val="center"/>
                </w:tcPr>
                <w:p w14:paraId="4D08360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排放源</w:t>
                  </w:r>
                </w:p>
              </w:tc>
              <w:tc>
                <w:tcPr>
                  <w:tcW w:w="820" w:type="pct"/>
                  <w:vAlign w:val="center"/>
                </w:tcPr>
                <w:p w14:paraId="4F0CDCE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污染物名称</w:t>
                  </w:r>
                </w:p>
              </w:tc>
              <w:tc>
                <w:tcPr>
                  <w:tcW w:w="917" w:type="pct"/>
                  <w:vAlign w:val="center"/>
                </w:tcPr>
                <w:p w14:paraId="3B83F65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处理前产生量</w:t>
                  </w:r>
                </w:p>
              </w:tc>
              <w:tc>
                <w:tcPr>
                  <w:tcW w:w="1041" w:type="pct"/>
                  <w:vAlign w:val="center"/>
                </w:tcPr>
                <w:p w14:paraId="508D5E3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处理措施</w:t>
                  </w:r>
                </w:p>
              </w:tc>
              <w:tc>
                <w:tcPr>
                  <w:tcW w:w="1115" w:type="pct"/>
                  <w:vAlign w:val="center"/>
                </w:tcPr>
                <w:p w14:paraId="5A632C5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处理后产生量</w:t>
                  </w:r>
                </w:p>
              </w:tc>
            </w:tr>
            <w:tr w14:paraId="755AB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restart"/>
                  <w:vAlign w:val="center"/>
                </w:tcPr>
                <w:p w14:paraId="41E95BD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大气污染物</w:t>
                  </w:r>
                </w:p>
              </w:tc>
              <w:tc>
                <w:tcPr>
                  <w:tcW w:w="472" w:type="pct"/>
                  <w:vMerge w:val="restart"/>
                  <w:vAlign w:val="center"/>
                </w:tcPr>
                <w:p w14:paraId="3074FC9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喷漆废气</w:t>
                  </w:r>
                </w:p>
              </w:tc>
              <w:tc>
                <w:tcPr>
                  <w:tcW w:w="820" w:type="pct"/>
                  <w:vAlign w:val="center"/>
                </w:tcPr>
                <w:p w14:paraId="130B945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VOCs</w:t>
                  </w:r>
                </w:p>
              </w:tc>
              <w:tc>
                <w:tcPr>
                  <w:tcW w:w="917" w:type="pct"/>
                  <w:vAlign w:val="center"/>
                </w:tcPr>
                <w:p w14:paraId="3E4577E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3.36t/a，</w:t>
                  </w:r>
                </w:p>
                <w:p w14:paraId="0A15FDF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75mg/m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c>
                <w:tcPr>
                  <w:tcW w:w="1041" w:type="pct"/>
                  <w:vMerge w:val="restart"/>
                  <w:vAlign w:val="center"/>
                </w:tcPr>
                <w:p w14:paraId="08BD8C4F">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干式过滤（三级）</w:t>
                  </w:r>
                </w:p>
                <w:p w14:paraId="6ABC6B6B">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+UV 光氧净化器+活性炭吸附</w:t>
                  </w:r>
                </w:p>
                <w:p w14:paraId="5971D4F7">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+1#15m 排气筒</w:t>
                  </w:r>
                </w:p>
              </w:tc>
              <w:tc>
                <w:tcPr>
                  <w:tcW w:w="1115" w:type="pct"/>
                  <w:vAlign w:val="center"/>
                </w:tcPr>
                <w:p w14:paraId="7F03F38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0.0814</w:t>
                  </w:r>
                  <w:r>
                    <w:rPr>
                      <w:rFonts w:hint="default" w:ascii="Times New Roman" w:hAnsi="Times New Roman" w:cs="Times New Roman"/>
                      <w:color w:val="000000" w:themeColor="text1"/>
                      <w:szCs w:val="21"/>
                      <w:highlight w:val="none"/>
                      <w14:textFill>
                        <w14:solidFill>
                          <w14:schemeClr w14:val="tx1"/>
                        </w14:solidFill>
                      </w14:textFill>
                    </w:rPr>
                    <w:t>t/a，</w:t>
                  </w:r>
                </w:p>
                <w:p w14:paraId="55A350A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4.5mg/m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c>
            </w:tr>
            <w:tr w14:paraId="26B3B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3461A3D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20D7F16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17541AD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二甲苯</w:t>
                  </w:r>
                </w:p>
              </w:tc>
              <w:tc>
                <w:tcPr>
                  <w:tcW w:w="917" w:type="pct"/>
                  <w:vAlign w:val="center"/>
                </w:tcPr>
                <w:p w14:paraId="10975718">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0.57t/a，12.7232mg/m</w:t>
                  </w:r>
                  <w:r>
                    <w:rPr>
                      <w:rFonts w:hint="default" w:ascii="Times New Roman" w:hAnsi="Times New Roman" w:cs="Times New Roman"/>
                      <w:color w:val="000000" w:themeColor="text1"/>
                      <w:kern w:val="0"/>
                      <w:szCs w:val="21"/>
                      <w:highlight w:val="none"/>
                      <w:vertAlign w:val="superscript"/>
                      <w:lang w:bidi="ar"/>
                      <w14:textFill>
                        <w14:solidFill>
                          <w14:schemeClr w14:val="tx1"/>
                        </w14:solidFill>
                      </w14:textFill>
                    </w:rPr>
                    <w:t>3</w:t>
                  </w:r>
                </w:p>
              </w:tc>
              <w:tc>
                <w:tcPr>
                  <w:tcW w:w="1041" w:type="pct"/>
                  <w:vMerge w:val="continue"/>
                  <w:vAlign w:val="center"/>
                </w:tcPr>
                <w:p w14:paraId="18F5002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0A136FC6">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0.0182</w:t>
                  </w:r>
                  <w:r>
                    <w:rPr>
                      <w:rFonts w:hint="default" w:ascii="Times New Roman" w:hAnsi="Times New Roman" w:cs="Times New Roman"/>
                      <w:color w:val="000000" w:themeColor="text1"/>
                      <w:kern w:val="0"/>
                      <w:szCs w:val="21"/>
                      <w:highlight w:val="none"/>
                      <w:lang w:bidi="ar"/>
                      <w14:textFill>
                        <w14:solidFill>
                          <w14:schemeClr w14:val="tx1"/>
                        </w14:solidFill>
                      </w14:textFill>
                    </w:rPr>
                    <w:t>t/a，0.7634mg/m</w:t>
                  </w:r>
                  <w:r>
                    <w:rPr>
                      <w:rFonts w:hint="default" w:ascii="Times New Roman" w:hAnsi="Times New Roman" w:cs="Times New Roman"/>
                      <w:color w:val="000000" w:themeColor="text1"/>
                      <w:kern w:val="0"/>
                      <w:szCs w:val="21"/>
                      <w:highlight w:val="none"/>
                      <w:vertAlign w:val="superscript"/>
                      <w:lang w:bidi="ar"/>
                      <w14:textFill>
                        <w14:solidFill>
                          <w14:schemeClr w14:val="tx1"/>
                        </w14:solidFill>
                      </w14:textFill>
                    </w:rPr>
                    <w:t>3</w:t>
                  </w:r>
                </w:p>
              </w:tc>
            </w:tr>
            <w:tr w14:paraId="6287E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580F231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57C2526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54DFBE2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漆雾颗粒</w:t>
                  </w:r>
                </w:p>
              </w:tc>
              <w:tc>
                <w:tcPr>
                  <w:tcW w:w="917" w:type="pct"/>
                  <w:vAlign w:val="center"/>
                </w:tcPr>
                <w:p w14:paraId="268E2F91">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0.488t/a</w:t>
                  </w:r>
                  <w:r>
                    <w:rPr>
                      <w:rFonts w:hint="default" w:ascii="Times New Roman" w:hAnsi="Times New Roman" w:cs="Times New Roman"/>
                      <w:color w:val="000000" w:themeColor="text1"/>
                      <w:spacing w:val="-18"/>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10.895</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/m</w:t>
                  </w:r>
                  <w:r>
                    <w:rPr>
                      <w:rFonts w:hint="default" w:ascii="Times New Roman" w:hAnsi="Times New Roman" w:cs="Times New Roman"/>
                      <w:color w:val="000000" w:themeColor="text1"/>
                      <w:spacing w:val="3"/>
                      <w:position w:val="6"/>
                      <w:sz w:val="21"/>
                      <w:szCs w:val="21"/>
                      <w:highlight w:val="none"/>
                      <w:vertAlign w:val="superscript"/>
                      <w14:textFill>
                        <w14:solidFill>
                          <w14:schemeClr w14:val="tx1"/>
                        </w14:solidFill>
                      </w14:textFill>
                    </w:rPr>
                    <w:t>3</w:t>
                  </w:r>
                </w:p>
              </w:tc>
              <w:tc>
                <w:tcPr>
                  <w:tcW w:w="1041" w:type="pct"/>
                  <w:vMerge w:val="continue"/>
                  <w:vAlign w:val="center"/>
                </w:tcPr>
                <w:p w14:paraId="37C381E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625B458B">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0.0193t/a</w:t>
                  </w:r>
                  <w:r>
                    <w:rPr>
                      <w:rFonts w:hint="default" w:ascii="Times New Roman" w:hAnsi="Times New Roman" w:cs="Times New Roman"/>
                      <w:color w:val="000000" w:themeColor="text1"/>
                      <w:spacing w:val="-15"/>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0.4357</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/m</w:t>
                  </w:r>
                  <w:r>
                    <w:rPr>
                      <w:rFonts w:hint="default" w:ascii="Times New Roman" w:hAnsi="Times New Roman" w:cs="Times New Roman"/>
                      <w:color w:val="000000" w:themeColor="text1"/>
                      <w:spacing w:val="3"/>
                      <w:position w:val="6"/>
                      <w:sz w:val="21"/>
                      <w:szCs w:val="21"/>
                      <w:highlight w:val="none"/>
                      <w:vertAlign w:val="superscript"/>
                      <w14:textFill>
                        <w14:solidFill>
                          <w14:schemeClr w14:val="tx1"/>
                        </w14:solidFill>
                      </w14:textFill>
                    </w:rPr>
                    <w:t>3</w:t>
                  </w:r>
                </w:p>
              </w:tc>
            </w:tr>
            <w:tr w14:paraId="7CCC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12055B65">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Align w:val="center"/>
                </w:tcPr>
                <w:p w14:paraId="728FDA3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机加工粉</w:t>
                  </w:r>
                  <w:r>
                    <w:rPr>
                      <w:rFonts w:hint="default" w:ascii="Times New Roman" w:hAnsi="Times New Roman" w:cs="Times New Roman"/>
                      <w:color w:val="000000" w:themeColor="text1"/>
                      <w:spacing w:val="1"/>
                      <w:szCs w:val="21"/>
                      <w:highlight w:val="none"/>
                      <w14:textFill>
                        <w14:solidFill>
                          <w14:schemeClr w14:val="tx1"/>
                        </w14:solidFill>
                      </w14:textFill>
                    </w:rPr>
                    <w:t xml:space="preserve"> </w:t>
                  </w:r>
                  <w:r>
                    <w:rPr>
                      <w:rFonts w:hint="default" w:ascii="Times New Roman" w:hAnsi="Times New Roman" w:cs="Times New Roman"/>
                      <w:color w:val="000000" w:themeColor="text1"/>
                      <w:szCs w:val="21"/>
                      <w:highlight w:val="none"/>
                      <w14:textFill>
                        <w14:solidFill>
                          <w14:schemeClr w14:val="tx1"/>
                        </w14:solidFill>
                      </w14:textFill>
                    </w:rPr>
                    <w:t>尘</w:t>
                  </w:r>
                </w:p>
              </w:tc>
              <w:tc>
                <w:tcPr>
                  <w:tcW w:w="820" w:type="pct"/>
                  <w:vAlign w:val="center"/>
                </w:tcPr>
                <w:p w14:paraId="13B3C72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金属粉尘</w:t>
                  </w:r>
                </w:p>
              </w:tc>
              <w:tc>
                <w:tcPr>
                  <w:tcW w:w="917" w:type="pct"/>
                  <w:vAlign w:val="center"/>
                </w:tcPr>
                <w:p w14:paraId="72ECD699">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0.354t/a</w:t>
                  </w:r>
                </w:p>
              </w:tc>
              <w:tc>
                <w:tcPr>
                  <w:tcW w:w="1041" w:type="pct"/>
                  <w:vAlign w:val="center"/>
                </w:tcPr>
                <w:p w14:paraId="02F18FD7">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自然沉降+车间通风</w:t>
                  </w:r>
                </w:p>
              </w:tc>
              <w:tc>
                <w:tcPr>
                  <w:tcW w:w="1115" w:type="pct"/>
                  <w:vAlign w:val="center"/>
                </w:tcPr>
                <w:p w14:paraId="0827E015">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0.001t/a</w:t>
                  </w:r>
                </w:p>
              </w:tc>
            </w:tr>
            <w:tr w14:paraId="67207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4421ADAB">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Align w:val="center"/>
                </w:tcPr>
                <w:p w14:paraId="5B105D0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焊接烟尘</w:t>
                  </w:r>
                </w:p>
              </w:tc>
              <w:tc>
                <w:tcPr>
                  <w:tcW w:w="820" w:type="pct"/>
                  <w:vAlign w:val="center"/>
                </w:tcPr>
                <w:p w14:paraId="1DCCA7B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4"/>
                      <w:szCs w:val="21"/>
                      <w:highlight w:val="none"/>
                      <w14:textFill>
                        <w14:solidFill>
                          <w14:schemeClr w14:val="tx1"/>
                        </w14:solidFill>
                      </w14:textFill>
                    </w:rPr>
                    <w:t>烟尘</w:t>
                  </w:r>
                </w:p>
              </w:tc>
              <w:tc>
                <w:tcPr>
                  <w:tcW w:w="917" w:type="pct"/>
                  <w:vAlign w:val="center"/>
                </w:tcPr>
                <w:p w14:paraId="4F4ABB5F">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0.216t/a</w:t>
                  </w:r>
                </w:p>
              </w:tc>
              <w:tc>
                <w:tcPr>
                  <w:tcW w:w="1041" w:type="pct"/>
                  <w:vAlign w:val="center"/>
                </w:tcPr>
                <w:p w14:paraId="01030594">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焊接烟尘净化器</w:t>
                  </w:r>
                </w:p>
              </w:tc>
              <w:tc>
                <w:tcPr>
                  <w:tcW w:w="1115" w:type="pct"/>
                  <w:vAlign w:val="center"/>
                </w:tcPr>
                <w:p w14:paraId="6BF9BEFA">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0.0216t/a</w:t>
                  </w:r>
                </w:p>
              </w:tc>
            </w:tr>
            <w:tr w14:paraId="456CF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627DA28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Align w:val="center"/>
                </w:tcPr>
                <w:p w14:paraId="08D0155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喷砂粉尘</w:t>
                  </w:r>
                </w:p>
              </w:tc>
              <w:tc>
                <w:tcPr>
                  <w:tcW w:w="820" w:type="pct"/>
                  <w:vAlign w:val="center"/>
                </w:tcPr>
                <w:p w14:paraId="31D07D3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5"/>
                      <w:szCs w:val="21"/>
                      <w:highlight w:val="none"/>
                      <w14:textFill>
                        <w14:solidFill>
                          <w14:schemeClr w14:val="tx1"/>
                        </w14:solidFill>
                      </w14:textFill>
                    </w:rPr>
                    <w:t>粉尘</w:t>
                  </w:r>
                </w:p>
              </w:tc>
              <w:tc>
                <w:tcPr>
                  <w:tcW w:w="917" w:type="pct"/>
                  <w:vAlign w:val="center"/>
                </w:tcPr>
                <w:p w14:paraId="26602DBA">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0.6t/a</w:t>
                  </w:r>
                  <w:r>
                    <w:rPr>
                      <w:rFonts w:hint="default" w:ascii="Times New Roman" w:hAnsi="Times New Roman" w:cs="Times New Roman"/>
                      <w:color w:val="000000" w:themeColor="text1"/>
                      <w:spacing w:val="-23"/>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71.43</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/m</w:t>
                  </w:r>
                  <w:r>
                    <w:rPr>
                      <w:rFonts w:hint="default" w:ascii="Times New Roman" w:hAnsi="Times New Roman" w:cs="Times New Roman"/>
                      <w:color w:val="000000" w:themeColor="text1"/>
                      <w:spacing w:val="3"/>
                      <w:position w:val="6"/>
                      <w:sz w:val="21"/>
                      <w:szCs w:val="21"/>
                      <w:highlight w:val="none"/>
                      <w:vertAlign w:val="superscript"/>
                      <w14:textFill>
                        <w14:solidFill>
                          <w14:schemeClr w14:val="tx1"/>
                        </w14:solidFill>
                      </w14:textFill>
                    </w:rPr>
                    <w:t>3</w:t>
                  </w:r>
                </w:p>
              </w:tc>
              <w:tc>
                <w:tcPr>
                  <w:tcW w:w="1041" w:type="pct"/>
                  <w:vAlign w:val="center"/>
                </w:tcPr>
                <w:p w14:paraId="52C6F962">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布袋除尘器</w:t>
                  </w:r>
                </w:p>
                <w:p w14:paraId="365A0303">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+2#15m 排气筒</w:t>
                  </w:r>
                </w:p>
              </w:tc>
              <w:tc>
                <w:tcPr>
                  <w:tcW w:w="1115" w:type="pct"/>
                  <w:vAlign w:val="center"/>
                </w:tcPr>
                <w:p w14:paraId="36325ED6">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0.0054t/a</w:t>
                  </w:r>
                  <w:r>
                    <w:rPr>
                      <w:rFonts w:hint="default" w:ascii="Times New Roman" w:hAnsi="Times New Roman" w:cs="Times New Roman"/>
                      <w:color w:val="000000" w:themeColor="text1"/>
                      <w:spacing w:val="-15"/>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0.6435</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/m</w:t>
                  </w:r>
                  <w:r>
                    <w:rPr>
                      <w:rFonts w:hint="default" w:ascii="Times New Roman" w:hAnsi="Times New Roman" w:cs="Times New Roman"/>
                      <w:color w:val="000000" w:themeColor="text1"/>
                      <w:spacing w:val="3"/>
                      <w:position w:val="6"/>
                      <w:sz w:val="21"/>
                      <w:szCs w:val="21"/>
                      <w:highlight w:val="none"/>
                      <w:vertAlign w:val="superscript"/>
                      <w14:textFill>
                        <w14:solidFill>
                          <w14:schemeClr w14:val="tx1"/>
                        </w14:solidFill>
                      </w14:textFill>
                    </w:rPr>
                    <w:t>3</w:t>
                  </w:r>
                </w:p>
              </w:tc>
            </w:tr>
            <w:tr w14:paraId="3B86D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0109982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Align w:val="center"/>
                </w:tcPr>
                <w:p w14:paraId="681FD17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油烟废气</w:t>
                  </w:r>
                </w:p>
              </w:tc>
              <w:tc>
                <w:tcPr>
                  <w:tcW w:w="820" w:type="pct"/>
                  <w:vAlign w:val="center"/>
                </w:tcPr>
                <w:p w14:paraId="27B370E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油烟废气</w:t>
                  </w:r>
                </w:p>
              </w:tc>
              <w:tc>
                <w:tcPr>
                  <w:tcW w:w="917" w:type="pct"/>
                  <w:vAlign w:val="center"/>
                </w:tcPr>
                <w:p w14:paraId="29FF862B">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13.63</w:t>
                  </w:r>
                  <w:r>
                    <w:rPr>
                      <w:rFonts w:hint="default" w:ascii="Times New Roman" w:hAnsi="Times New Roman" w:cs="Times New Roman"/>
                      <w:color w:val="000000" w:themeColor="text1"/>
                      <w:sz w:val="21"/>
                      <w:szCs w:val="21"/>
                      <w:highlight w:val="none"/>
                      <w14:textFill>
                        <w14:solidFill>
                          <w14:schemeClr w14:val="tx1"/>
                        </w14:solidFill>
                      </w14:textFill>
                    </w:rPr>
                    <w:t>kg</w:t>
                  </w:r>
                  <w:r>
                    <w:rPr>
                      <w:rFonts w:hint="default" w:ascii="Times New Roman" w:hAnsi="Times New Roman" w:cs="Times New Roman"/>
                      <w:color w:val="000000" w:themeColor="text1"/>
                      <w:spacing w:val="1"/>
                      <w:sz w:val="21"/>
                      <w:szCs w:val="21"/>
                      <w:highlight w:val="none"/>
                      <w14:textFill>
                        <w14:solidFill>
                          <w14:schemeClr w14:val="tx1"/>
                        </w14:solidFill>
                      </w14:textFill>
                    </w:rPr>
                    <w:t>/a</w:t>
                  </w:r>
                </w:p>
              </w:tc>
              <w:tc>
                <w:tcPr>
                  <w:tcW w:w="1041" w:type="pct"/>
                  <w:vAlign w:val="center"/>
                </w:tcPr>
                <w:p w14:paraId="4ACAEC33">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油烟净化器</w:t>
                  </w:r>
                </w:p>
                <w:p w14:paraId="65D42C6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17B951E1">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2.044</w:t>
                  </w:r>
                  <w:r>
                    <w:rPr>
                      <w:rFonts w:hint="default" w:ascii="Times New Roman" w:hAnsi="Times New Roman" w:cs="Times New Roman"/>
                      <w:color w:val="000000" w:themeColor="text1"/>
                      <w:sz w:val="21"/>
                      <w:szCs w:val="21"/>
                      <w:highlight w:val="none"/>
                      <w14:textFill>
                        <w14:solidFill>
                          <w14:schemeClr w14:val="tx1"/>
                        </w14:solidFill>
                      </w14:textFill>
                    </w:rPr>
                    <w:t>kg</w:t>
                  </w:r>
                  <w:r>
                    <w:rPr>
                      <w:rFonts w:hint="default" w:ascii="Times New Roman" w:hAnsi="Times New Roman" w:cs="Times New Roman"/>
                      <w:color w:val="000000" w:themeColor="text1"/>
                      <w:spacing w:val="4"/>
                      <w:sz w:val="21"/>
                      <w:szCs w:val="21"/>
                      <w:highlight w:val="none"/>
                      <w14:textFill>
                        <w14:solidFill>
                          <w14:schemeClr w14:val="tx1"/>
                        </w14:solidFill>
                      </w14:textFill>
                    </w:rPr>
                    <w:t>/a</w:t>
                  </w:r>
                  <w:r>
                    <w:rPr>
                      <w:rFonts w:hint="default" w:ascii="Times New Roman" w:hAnsi="Times New Roman" w:cs="Times New Roman"/>
                      <w:color w:val="000000" w:themeColor="text1"/>
                      <w:spacing w:val="-21"/>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w:t>
                  </w:r>
                  <w:r>
                    <w:rPr>
                      <w:rFonts w:hint="default" w:ascii="Times New Roman" w:hAnsi="Times New Roman" w:cs="Times New Roman"/>
                      <w:color w:val="000000" w:themeColor="text1"/>
                      <w:spacing w:val="4"/>
                      <w:sz w:val="21"/>
                      <w:szCs w:val="21"/>
                      <w:highlight w:val="none"/>
                      <w14:textFill>
                        <w14:solidFill>
                          <w14:schemeClr w14:val="tx1"/>
                        </w14:solidFill>
                      </w14:textFill>
                    </w:rPr>
                    <w:t>0.365</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4"/>
                      <w:sz w:val="21"/>
                      <w:szCs w:val="21"/>
                      <w:highlight w:val="none"/>
                      <w14:textFill>
                        <w14:solidFill>
                          <w14:schemeClr w14:val="tx1"/>
                        </w14:solidFill>
                      </w14:textFill>
                    </w:rPr>
                    <w:t>/m</w:t>
                  </w:r>
                  <w:r>
                    <w:rPr>
                      <w:rFonts w:hint="default" w:ascii="Times New Roman" w:hAnsi="Times New Roman" w:cs="Times New Roman"/>
                      <w:color w:val="000000" w:themeColor="text1"/>
                      <w:spacing w:val="4"/>
                      <w:position w:val="6"/>
                      <w:sz w:val="21"/>
                      <w:szCs w:val="21"/>
                      <w:highlight w:val="none"/>
                      <w:vertAlign w:val="superscript"/>
                      <w14:textFill>
                        <w14:solidFill>
                          <w14:schemeClr w14:val="tx1"/>
                        </w14:solidFill>
                      </w14:textFill>
                    </w:rPr>
                    <w:t>3</w:t>
                  </w:r>
                </w:p>
              </w:tc>
            </w:tr>
            <w:tr w14:paraId="4AD7B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restart"/>
                  <w:vAlign w:val="center"/>
                </w:tcPr>
                <w:p w14:paraId="3EF389B9">
                  <w:pPr>
                    <w:jc w:val="center"/>
                    <w:rPr>
                      <w:rFonts w:hint="default" w:ascii="Times New Roman" w:hAnsi="Times New Roman" w:cs="Times New Roman"/>
                      <w:color w:val="000000" w:themeColor="text1"/>
                      <w:szCs w:val="21"/>
                      <w:highlight w:val="none"/>
                      <w14:textFill>
                        <w14:solidFill>
                          <w14:schemeClr w14:val="tx1"/>
                        </w14:solidFill>
                      </w14:textFill>
                    </w:rPr>
                  </w:pPr>
                </w:p>
                <w:p w14:paraId="1FF74CC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水污染</w:t>
                  </w:r>
                  <w:r>
                    <w:rPr>
                      <w:rFonts w:hint="default" w:ascii="Times New Roman" w:hAnsi="Times New Roman" w:cs="Times New Roman"/>
                      <w:color w:val="000000" w:themeColor="text1"/>
                      <w:szCs w:val="21"/>
                      <w:highlight w:val="none"/>
                      <w14:textFill>
                        <w14:solidFill>
                          <w14:schemeClr w14:val="tx1"/>
                        </w14:solidFill>
                      </w14:textFill>
                    </w:rPr>
                    <w:t xml:space="preserve"> 物</w:t>
                  </w:r>
                </w:p>
              </w:tc>
              <w:tc>
                <w:tcPr>
                  <w:tcW w:w="472" w:type="pct"/>
                  <w:vMerge w:val="restart"/>
                  <w:vAlign w:val="center"/>
                </w:tcPr>
                <w:p w14:paraId="6D4A696D">
                  <w:pPr>
                    <w:jc w:val="center"/>
                    <w:rPr>
                      <w:rFonts w:hint="default" w:ascii="Times New Roman" w:hAnsi="Times New Roman" w:cs="Times New Roman"/>
                      <w:color w:val="000000" w:themeColor="text1"/>
                      <w:szCs w:val="21"/>
                      <w:highlight w:val="none"/>
                      <w14:textFill>
                        <w14:solidFill>
                          <w14:schemeClr w14:val="tx1"/>
                        </w14:solidFill>
                      </w14:textFill>
                    </w:rPr>
                  </w:pPr>
                </w:p>
                <w:p w14:paraId="5ABB7EB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生活污水</w:t>
                  </w:r>
                </w:p>
              </w:tc>
              <w:tc>
                <w:tcPr>
                  <w:tcW w:w="820" w:type="pct"/>
                  <w:vAlign w:val="center"/>
                </w:tcPr>
                <w:p w14:paraId="65F8557E">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COD</w:t>
                  </w:r>
                  <w:r>
                    <w:rPr>
                      <w:rFonts w:hint="default" w:ascii="Times New Roman" w:hAnsi="Times New Roman" w:cs="Times New Roman"/>
                      <w:color w:val="000000" w:themeColor="text1"/>
                      <w:spacing w:val="3"/>
                      <w:position w:val="-1"/>
                      <w:sz w:val="21"/>
                      <w:szCs w:val="21"/>
                      <w:highlight w:val="none"/>
                      <w14:textFill>
                        <w14:solidFill>
                          <w14:schemeClr w14:val="tx1"/>
                        </w14:solidFill>
                      </w14:textFill>
                    </w:rPr>
                    <w:t>cr</w:t>
                  </w:r>
                </w:p>
              </w:tc>
              <w:tc>
                <w:tcPr>
                  <w:tcW w:w="917" w:type="pct"/>
                  <w:vAlign w:val="center"/>
                </w:tcPr>
                <w:p w14:paraId="02F4B305">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300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/L</w:t>
                  </w:r>
                  <w:r>
                    <w:rPr>
                      <w:rFonts w:hint="default" w:ascii="Times New Roman" w:hAnsi="Times New Roman" w:cs="Times New Roman"/>
                      <w:color w:val="000000" w:themeColor="text1"/>
                      <w:spacing w:val="-23"/>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0.6936t/a</w:t>
                  </w:r>
                </w:p>
              </w:tc>
              <w:tc>
                <w:tcPr>
                  <w:tcW w:w="1041" w:type="pct"/>
                  <w:vMerge w:val="restart"/>
                  <w:vAlign w:val="center"/>
                </w:tcPr>
                <w:p w14:paraId="00847E0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化粪池</w:t>
                  </w:r>
                </w:p>
              </w:tc>
              <w:tc>
                <w:tcPr>
                  <w:tcW w:w="1115" w:type="pct"/>
                  <w:vAlign w:val="center"/>
                </w:tcPr>
                <w:p w14:paraId="75E41A73">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280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/L</w:t>
                  </w:r>
                  <w:r>
                    <w:rPr>
                      <w:rFonts w:hint="default" w:ascii="Times New Roman" w:hAnsi="Times New Roman" w:cs="Times New Roman"/>
                      <w:color w:val="000000" w:themeColor="text1"/>
                      <w:spacing w:val="-19"/>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0.6474t/a</w:t>
                  </w:r>
                </w:p>
              </w:tc>
            </w:tr>
            <w:tr w14:paraId="0086E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5079201B">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51D182E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6D96A7C2">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14:textFill>
                        <w14:solidFill>
                          <w14:schemeClr w14:val="tx1"/>
                        </w14:solidFill>
                      </w14:textFill>
                    </w:rPr>
                    <w:t>BOD</w:t>
                  </w:r>
                  <w:r>
                    <w:rPr>
                      <w:rFonts w:hint="default" w:ascii="Times New Roman" w:hAnsi="Times New Roman" w:cs="Times New Roman"/>
                      <w:color w:val="000000" w:themeColor="text1"/>
                      <w:spacing w:val="5"/>
                      <w:position w:val="-1"/>
                      <w:sz w:val="21"/>
                      <w:szCs w:val="21"/>
                      <w:highlight w:val="none"/>
                      <w14:textFill>
                        <w14:solidFill>
                          <w14:schemeClr w14:val="tx1"/>
                        </w14:solidFill>
                      </w14:textFill>
                    </w:rPr>
                    <w:t>5</w:t>
                  </w:r>
                </w:p>
              </w:tc>
              <w:tc>
                <w:tcPr>
                  <w:tcW w:w="917" w:type="pct"/>
                  <w:vAlign w:val="center"/>
                </w:tcPr>
                <w:p w14:paraId="47AEBC41">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150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2"/>
                      <w:sz w:val="21"/>
                      <w:szCs w:val="21"/>
                      <w:highlight w:val="none"/>
                      <w14:textFill>
                        <w14:solidFill>
                          <w14:schemeClr w14:val="tx1"/>
                        </w14:solidFill>
                      </w14:textFill>
                    </w:rPr>
                    <w:t>/L</w:t>
                  </w:r>
                  <w:r>
                    <w:rPr>
                      <w:rFonts w:hint="default" w:ascii="Times New Roman" w:hAnsi="Times New Roman" w:cs="Times New Roman"/>
                      <w:color w:val="000000" w:themeColor="text1"/>
                      <w:spacing w:val="-24"/>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r>
                    <w:rPr>
                      <w:rFonts w:hint="default" w:ascii="Times New Roman" w:hAnsi="Times New Roman" w:cs="Times New Roman"/>
                      <w:color w:val="000000" w:themeColor="text1"/>
                      <w:spacing w:val="2"/>
                      <w:sz w:val="21"/>
                      <w:szCs w:val="21"/>
                      <w:highlight w:val="none"/>
                      <w14:textFill>
                        <w14:solidFill>
                          <w14:schemeClr w14:val="tx1"/>
                        </w14:solidFill>
                      </w14:textFill>
                    </w:rPr>
                    <w:t>0.3468t/a</w:t>
                  </w:r>
                </w:p>
              </w:tc>
              <w:tc>
                <w:tcPr>
                  <w:tcW w:w="1041" w:type="pct"/>
                  <w:vMerge w:val="continue"/>
                  <w:vAlign w:val="center"/>
                </w:tcPr>
                <w:p w14:paraId="1578F05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5BA91491">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120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2"/>
                      <w:sz w:val="21"/>
                      <w:szCs w:val="21"/>
                      <w:highlight w:val="none"/>
                      <w14:textFill>
                        <w14:solidFill>
                          <w14:schemeClr w14:val="tx1"/>
                        </w14:solidFill>
                      </w14:textFill>
                    </w:rPr>
                    <w:t>/L</w:t>
                  </w:r>
                  <w:r>
                    <w:rPr>
                      <w:rFonts w:hint="default" w:ascii="Times New Roman" w:hAnsi="Times New Roman" w:cs="Times New Roman"/>
                      <w:color w:val="000000" w:themeColor="text1"/>
                      <w:spacing w:val="-23"/>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r>
                    <w:rPr>
                      <w:rFonts w:hint="default" w:ascii="Times New Roman" w:hAnsi="Times New Roman" w:cs="Times New Roman"/>
                      <w:color w:val="000000" w:themeColor="text1"/>
                      <w:spacing w:val="2"/>
                      <w:sz w:val="21"/>
                      <w:szCs w:val="21"/>
                      <w:highlight w:val="none"/>
                      <w14:textFill>
                        <w14:solidFill>
                          <w14:schemeClr w14:val="tx1"/>
                        </w14:solidFill>
                      </w14:textFill>
                    </w:rPr>
                    <w:t>0.2774t/a</w:t>
                  </w:r>
                </w:p>
              </w:tc>
            </w:tr>
            <w:tr w14:paraId="2FFC5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531E2FB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481A5FD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36DCB6C5">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SS</w:t>
                  </w:r>
                </w:p>
              </w:tc>
              <w:tc>
                <w:tcPr>
                  <w:tcW w:w="917" w:type="pct"/>
                  <w:vAlign w:val="center"/>
                </w:tcPr>
                <w:p w14:paraId="4C5C655A">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200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/L</w:t>
                  </w:r>
                  <w:r>
                    <w:rPr>
                      <w:rFonts w:hint="default" w:ascii="Times New Roman" w:hAnsi="Times New Roman" w:cs="Times New Roman"/>
                      <w:color w:val="000000" w:themeColor="text1"/>
                      <w:spacing w:val="-19"/>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0.4624t/a</w:t>
                  </w:r>
                </w:p>
              </w:tc>
              <w:tc>
                <w:tcPr>
                  <w:tcW w:w="1041" w:type="pct"/>
                  <w:vMerge w:val="continue"/>
                  <w:vAlign w:val="center"/>
                </w:tcPr>
                <w:p w14:paraId="0FA919F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655604A0">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120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2"/>
                      <w:sz w:val="21"/>
                      <w:szCs w:val="21"/>
                      <w:highlight w:val="none"/>
                      <w14:textFill>
                        <w14:solidFill>
                          <w14:schemeClr w14:val="tx1"/>
                        </w14:solidFill>
                      </w14:textFill>
                    </w:rPr>
                    <w:t>/L</w:t>
                  </w:r>
                  <w:r>
                    <w:rPr>
                      <w:rFonts w:hint="default" w:ascii="Times New Roman" w:hAnsi="Times New Roman" w:cs="Times New Roman"/>
                      <w:color w:val="000000" w:themeColor="text1"/>
                      <w:spacing w:val="-23"/>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r>
                    <w:rPr>
                      <w:rFonts w:hint="default" w:ascii="Times New Roman" w:hAnsi="Times New Roman" w:cs="Times New Roman"/>
                      <w:color w:val="000000" w:themeColor="text1"/>
                      <w:spacing w:val="2"/>
                      <w:sz w:val="21"/>
                      <w:szCs w:val="21"/>
                      <w:highlight w:val="none"/>
                      <w14:textFill>
                        <w14:solidFill>
                          <w14:schemeClr w14:val="tx1"/>
                        </w14:solidFill>
                      </w14:textFill>
                    </w:rPr>
                    <w:t>0.2774t/a</w:t>
                  </w:r>
                </w:p>
              </w:tc>
            </w:tr>
            <w:tr w14:paraId="269AA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7F9D7B2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578A895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78C2D5E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4"/>
                      <w:szCs w:val="21"/>
                      <w:highlight w:val="none"/>
                      <w14:textFill>
                        <w14:solidFill>
                          <w14:schemeClr w14:val="tx1"/>
                        </w14:solidFill>
                      </w14:textFill>
                    </w:rPr>
                    <w:t>氨氮</w:t>
                  </w:r>
                </w:p>
              </w:tc>
              <w:tc>
                <w:tcPr>
                  <w:tcW w:w="917" w:type="pct"/>
                  <w:vAlign w:val="center"/>
                </w:tcPr>
                <w:p w14:paraId="65949A7D">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30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3"/>
                      <w:sz w:val="21"/>
                      <w:szCs w:val="21"/>
                      <w:highlight w:val="none"/>
                      <w14:textFill>
                        <w14:solidFill>
                          <w14:schemeClr w14:val="tx1"/>
                        </w14:solidFill>
                      </w14:textFill>
                    </w:rPr>
                    <w:t>/L</w:t>
                  </w:r>
                  <w:r>
                    <w:rPr>
                      <w:rFonts w:hint="default" w:ascii="Times New Roman" w:hAnsi="Times New Roman" w:cs="Times New Roman"/>
                      <w:color w:val="000000" w:themeColor="text1"/>
                      <w:spacing w:val="-23"/>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0.0694t/a</w:t>
                  </w:r>
                </w:p>
              </w:tc>
              <w:tc>
                <w:tcPr>
                  <w:tcW w:w="1041" w:type="pct"/>
                  <w:vMerge w:val="continue"/>
                  <w:vAlign w:val="center"/>
                </w:tcPr>
                <w:p w14:paraId="10F7A79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07E63C0F">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30</w:t>
                  </w:r>
                  <w:r>
                    <w:rPr>
                      <w:rFonts w:hint="default" w:ascii="Times New Roman" w:hAnsi="Times New Roman" w:cs="Times New Roman"/>
                      <w:color w:val="000000" w:themeColor="text1"/>
                      <w:sz w:val="21"/>
                      <w:szCs w:val="21"/>
                      <w:highlight w:val="none"/>
                      <w14:textFill>
                        <w14:solidFill>
                          <w14:schemeClr w14:val="tx1"/>
                        </w14:solidFill>
                      </w14:textFill>
                    </w:rPr>
                    <w:t>mg</w:t>
                  </w:r>
                  <w:r>
                    <w:rPr>
                      <w:rFonts w:hint="default" w:ascii="Times New Roman" w:hAnsi="Times New Roman" w:cs="Times New Roman"/>
                      <w:color w:val="000000" w:themeColor="text1"/>
                      <w:spacing w:val="2"/>
                      <w:sz w:val="21"/>
                      <w:szCs w:val="21"/>
                      <w:highlight w:val="none"/>
                      <w14:textFill>
                        <w14:solidFill>
                          <w14:schemeClr w14:val="tx1"/>
                        </w14:solidFill>
                      </w14:textFill>
                    </w:rPr>
                    <w:t>/L</w:t>
                  </w:r>
                  <w:r>
                    <w:rPr>
                      <w:rFonts w:hint="default" w:ascii="Times New Roman" w:hAnsi="Times New Roman" w:cs="Times New Roman"/>
                      <w:color w:val="000000" w:themeColor="text1"/>
                      <w:spacing w:val="-12"/>
                      <w:sz w:val="21"/>
                      <w:szCs w:val="21"/>
                      <w:highlight w:val="none"/>
                      <w14:textFill>
                        <w14:solidFill>
                          <w14:schemeClr w14:val="tx1"/>
                        </w14:solidFill>
                      </w14:textFill>
                    </w:rPr>
                    <w:t xml:space="preserve"> </w:t>
                  </w: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w:t>
                  </w:r>
                  <w:r>
                    <w:rPr>
                      <w:rFonts w:hint="default" w:ascii="Times New Roman" w:hAnsi="Times New Roman" w:cs="Times New Roman"/>
                      <w:color w:val="000000" w:themeColor="text1"/>
                      <w:spacing w:val="2"/>
                      <w:sz w:val="21"/>
                      <w:szCs w:val="21"/>
                      <w:highlight w:val="none"/>
                      <w14:textFill>
                        <w14:solidFill>
                          <w14:schemeClr w14:val="tx1"/>
                        </w14:solidFill>
                      </w14:textFill>
                    </w:rPr>
                    <w:t>0.0694t/a</w:t>
                  </w:r>
                </w:p>
              </w:tc>
            </w:tr>
            <w:tr w14:paraId="0C96E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restart"/>
                  <w:vAlign w:val="center"/>
                </w:tcPr>
                <w:p w14:paraId="17343773">
                  <w:pPr>
                    <w:jc w:val="center"/>
                    <w:rPr>
                      <w:rFonts w:hint="default" w:ascii="Times New Roman" w:hAnsi="Times New Roman" w:cs="Times New Roman"/>
                      <w:color w:val="000000" w:themeColor="text1"/>
                      <w:szCs w:val="21"/>
                      <w:highlight w:val="none"/>
                      <w14:textFill>
                        <w14:solidFill>
                          <w14:schemeClr w14:val="tx1"/>
                        </w14:solidFill>
                      </w14:textFill>
                    </w:rPr>
                  </w:pPr>
                </w:p>
                <w:p w14:paraId="493FE95B">
                  <w:pPr>
                    <w:jc w:val="center"/>
                    <w:rPr>
                      <w:rFonts w:hint="default" w:ascii="Times New Roman" w:hAnsi="Times New Roman" w:cs="Times New Roman"/>
                      <w:color w:val="000000" w:themeColor="text1"/>
                      <w:szCs w:val="21"/>
                      <w:highlight w:val="none"/>
                      <w14:textFill>
                        <w14:solidFill>
                          <w14:schemeClr w14:val="tx1"/>
                        </w14:solidFill>
                      </w14:textFill>
                    </w:rPr>
                  </w:pPr>
                </w:p>
                <w:p w14:paraId="33E812D7">
                  <w:pPr>
                    <w:jc w:val="center"/>
                    <w:rPr>
                      <w:rFonts w:hint="default" w:ascii="Times New Roman" w:hAnsi="Times New Roman" w:cs="Times New Roman"/>
                      <w:color w:val="000000" w:themeColor="text1"/>
                      <w:szCs w:val="21"/>
                      <w:highlight w:val="none"/>
                      <w14:textFill>
                        <w14:solidFill>
                          <w14:schemeClr w14:val="tx1"/>
                        </w14:solidFill>
                      </w14:textFill>
                    </w:rPr>
                  </w:pPr>
                </w:p>
                <w:p w14:paraId="69278038">
                  <w:pPr>
                    <w:jc w:val="center"/>
                    <w:rPr>
                      <w:rFonts w:hint="default" w:ascii="Times New Roman" w:hAnsi="Times New Roman" w:cs="Times New Roman"/>
                      <w:color w:val="000000" w:themeColor="text1"/>
                      <w:szCs w:val="21"/>
                      <w:highlight w:val="none"/>
                      <w14:textFill>
                        <w14:solidFill>
                          <w14:schemeClr w14:val="tx1"/>
                        </w14:solidFill>
                      </w14:textFill>
                    </w:rPr>
                  </w:pPr>
                </w:p>
                <w:p w14:paraId="2B6ED470">
                  <w:pPr>
                    <w:jc w:val="center"/>
                    <w:rPr>
                      <w:rFonts w:hint="default" w:ascii="Times New Roman" w:hAnsi="Times New Roman" w:cs="Times New Roman"/>
                      <w:color w:val="000000" w:themeColor="text1"/>
                      <w:szCs w:val="21"/>
                      <w:highlight w:val="none"/>
                      <w14:textFill>
                        <w14:solidFill>
                          <w14:schemeClr w14:val="tx1"/>
                        </w14:solidFill>
                      </w14:textFill>
                    </w:rPr>
                  </w:pPr>
                </w:p>
                <w:p w14:paraId="55D89C56">
                  <w:pPr>
                    <w:jc w:val="center"/>
                    <w:rPr>
                      <w:rFonts w:hint="default" w:ascii="Times New Roman" w:hAnsi="Times New Roman" w:cs="Times New Roman"/>
                      <w:color w:val="000000" w:themeColor="text1"/>
                      <w:szCs w:val="21"/>
                      <w:highlight w:val="none"/>
                      <w14:textFill>
                        <w14:solidFill>
                          <w14:schemeClr w14:val="tx1"/>
                        </w14:solidFill>
                      </w14:textFill>
                    </w:rPr>
                  </w:pPr>
                </w:p>
                <w:p w14:paraId="71F26C4D">
                  <w:pPr>
                    <w:jc w:val="center"/>
                    <w:rPr>
                      <w:rFonts w:hint="default" w:ascii="Times New Roman" w:hAnsi="Times New Roman" w:cs="Times New Roman"/>
                      <w:color w:val="000000" w:themeColor="text1"/>
                      <w:szCs w:val="21"/>
                      <w:highlight w:val="none"/>
                      <w14:textFill>
                        <w14:solidFill>
                          <w14:schemeClr w14:val="tx1"/>
                        </w14:solidFill>
                      </w14:textFill>
                    </w:rPr>
                  </w:pPr>
                </w:p>
                <w:p w14:paraId="7C31B6BD">
                  <w:pPr>
                    <w:jc w:val="center"/>
                    <w:rPr>
                      <w:rFonts w:hint="default" w:ascii="Times New Roman" w:hAnsi="Times New Roman" w:cs="Times New Roman"/>
                      <w:color w:val="000000" w:themeColor="text1"/>
                      <w:szCs w:val="21"/>
                      <w:highlight w:val="none"/>
                      <w14:textFill>
                        <w14:solidFill>
                          <w14:schemeClr w14:val="tx1"/>
                        </w14:solidFill>
                      </w14:textFill>
                    </w:rPr>
                  </w:pPr>
                </w:p>
                <w:p w14:paraId="1A3C58BD">
                  <w:pPr>
                    <w:jc w:val="center"/>
                    <w:rPr>
                      <w:rFonts w:hint="default" w:ascii="Times New Roman" w:hAnsi="Times New Roman" w:cs="Times New Roman"/>
                      <w:color w:val="000000" w:themeColor="text1"/>
                      <w:szCs w:val="21"/>
                      <w:highlight w:val="none"/>
                      <w14:textFill>
                        <w14:solidFill>
                          <w14:schemeClr w14:val="tx1"/>
                        </w14:solidFill>
                      </w14:textFill>
                    </w:rPr>
                  </w:pPr>
                </w:p>
                <w:p w14:paraId="182509A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固体废</w:t>
                  </w:r>
                  <w:r>
                    <w:rPr>
                      <w:rFonts w:hint="default" w:ascii="Times New Roman" w:hAnsi="Times New Roman" w:cs="Times New Roman"/>
                      <w:color w:val="000000" w:themeColor="text1"/>
                      <w:spacing w:val="1"/>
                      <w:szCs w:val="21"/>
                      <w:highlight w:val="none"/>
                      <w14:textFill>
                        <w14:solidFill>
                          <w14:schemeClr w14:val="tx1"/>
                        </w14:solidFill>
                      </w14:textFill>
                    </w:rPr>
                    <w:t xml:space="preserve"> </w:t>
                  </w:r>
                  <w:r>
                    <w:rPr>
                      <w:rFonts w:hint="default" w:ascii="Times New Roman" w:hAnsi="Times New Roman" w:cs="Times New Roman"/>
                      <w:color w:val="000000" w:themeColor="text1"/>
                      <w:szCs w:val="21"/>
                      <w:highlight w:val="none"/>
                      <w14:textFill>
                        <w14:solidFill>
                          <w14:schemeClr w14:val="tx1"/>
                        </w14:solidFill>
                      </w14:textFill>
                    </w:rPr>
                    <w:t>物</w:t>
                  </w:r>
                </w:p>
              </w:tc>
              <w:tc>
                <w:tcPr>
                  <w:tcW w:w="472" w:type="pct"/>
                  <w:vAlign w:val="center"/>
                </w:tcPr>
                <w:p w14:paraId="5FF1027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3"/>
                      <w:szCs w:val="21"/>
                      <w:highlight w:val="none"/>
                      <w14:textFill>
                        <w14:solidFill>
                          <w14:schemeClr w14:val="tx1"/>
                        </w14:solidFill>
                      </w14:textFill>
                    </w:rPr>
                    <w:t>生活</w:t>
                  </w:r>
                </w:p>
              </w:tc>
              <w:tc>
                <w:tcPr>
                  <w:tcW w:w="820" w:type="pct"/>
                  <w:vAlign w:val="center"/>
                </w:tcPr>
                <w:p w14:paraId="3BF8A08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6"/>
                      <w:szCs w:val="21"/>
                      <w:highlight w:val="none"/>
                      <w14:textFill>
                        <w14:solidFill>
                          <w14:schemeClr w14:val="tx1"/>
                        </w14:solidFill>
                      </w14:textFill>
                    </w:rPr>
                    <w:t>生活垃圾</w:t>
                  </w:r>
                </w:p>
              </w:tc>
              <w:tc>
                <w:tcPr>
                  <w:tcW w:w="917" w:type="pct"/>
                  <w:vAlign w:val="center"/>
                </w:tcPr>
                <w:p w14:paraId="4C32C982">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12.04t/a</w:t>
                  </w:r>
                </w:p>
              </w:tc>
              <w:tc>
                <w:tcPr>
                  <w:tcW w:w="1041" w:type="pct"/>
                  <w:shd w:val="clear" w:color="auto" w:fill="auto"/>
                  <w:vAlign w:val="center"/>
                </w:tcPr>
                <w:p w14:paraId="53696D19">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环卫部门</w:t>
                  </w:r>
                </w:p>
              </w:tc>
              <w:tc>
                <w:tcPr>
                  <w:tcW w:w="1115" w:type="pct"/>
                  <w:vAlign w:val="center"/>
                </w:tcPr>
                <w:p w14:paraId="0E8B2F0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48F46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1353D97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restart"/>
                  <w:vAlign w:val="center"/>
                </w:tcPr>
                <w:p w14:paraId="12C95D4E">
                  <w:pPr>
                    <w:jc w:val="center"/>
                    <w:rPr>
                      <w:rFonts w:hint="default" w:ascii="Times New Roman" w:hAnsi="Times New Roman" w:cs="Times New Roman"/>
                      <w:color w:val="000000" w:themeColor="text1"/>
                      <w:szCs w:val="21"/>
                      <w:highlight w:val="none"/>
                      <w14:textFill>
                        <w14:solidFill>
                          <w14:schemeClr w14:val="tx1"/>
                        </w14:solidFill>
                      </w14:textFill>
                    </w:rPr>
                  </w:pPr>
                </w:p>
                <w:p w14:paraId="520D34FA">
                  <w:pPr>
                    <w:jc w:val="center"/>
                    <w:rPr>
                      <w:rFonts w:hint="default" w:ascii="Times New Roman" w:hAnsi="Times New Roman" w:cs="Times New Roman"/>
                      <w:color w:val="000000" w:themeColor="text1"/>
                      <w:szCs w:val="21"/>
                      <w:highlight w:val="none"/>
                      <w14:textFill>
                        <w14:solidFill>
                          <w14:schemeClr w14:val="tx1"/>
                        </w14:solidFill>
                      </w14:textFill>
                    </w:rPr>
                  </w:pPr>
                </w:p>
                <w:p w14:paraId="5FB64B23">
                  <w:pPr>
                    <w:jc w:val="center"/>
                    <w:rPr>
                      <w:rFonts w:hint="default" w:ascii="Times New Roman" w:hAnsi="Times New Roman" w:cs="Times New Roman"/>
                      <w:color w:val="000000" w:themeColor="text1"/>
                      <w:szCs w:val="21"/>
                      <w:highlight w:val="none"/>
                      <w14:textFill>
                        <w14:solidFill>
                          <w14:schemeClr w14:val="tx1"/>
                        </w14:solidFill>
                      </w14:textFill>
                    </w:rPr>
                  </w:pPr>
                </w:p>
                <w:p w14:paraId="6F6D6244">
                  <w:pPr>
                    <w:jc w:val="center"/>
                    <w:rPr>
                      <w:rFonts w:hint="default" w:ascii="Times New Roman" w:hAnsi="Times New Roman" w:cs="Times New Roman"/>
                      <w:color w:val="000000" w:themeColor="text1"/>
                      <w:szCs w:val="21"/>
                      <w:highlight w:val="none"/>
                      <w14:textFill>
                        <w14:solidFill>
                          <w14:schemeClr w14:val="tx1"/>
                        </w14:solidFill>
                      </w14:textFill>
                    </w:rPr>
                  </w:pPr>
                </w:p>
                <w:p w14:paraId="525FC1C3">
                  <w:pPr>
                    <w:jc w:val="center"/>
                    <w:rPr>
                      <w:rFonts w:hint="default" w:ascii="Times New Roman" w:hAnsi="Times New Roman" w:cs="Times New Roman"/>
                      <w:color w:val="000000" w:themeColor="text1"/>
                      <w:szCs w:val="21"/>
                      <w:highlight w:val="none"/>
                      <w14:textFill>
                        <w14:solidFill>
                          <w14:schemeClr w14:val="tx1"/>
                        </w14:solidFill>
                      </w14:textFill>
                    </w:rPr>
                  </w:pPr>
                </w:p>
                <w:p w14:paraId="3E9947CE">
                  <w:pPr>
                    <w:jc w:val="center"/>
                    <w:rPr>
                      <w:rFonts w:hint="default" w:ascii="Times New Roman" w:hAnsi="Times New Roman" w:cs="Times New Roman"/>
                      <w:color w:val="000000" w:themeColor="text1"/>
                      <w:szCs w:val="21"/>
                      <w:highlight w:val="none"/>
                      <w14:textFill>
                        <w14:solidFill>
                          <w14:schemeClr w14:val="tx1"/>
                        </w14:solidFill>
                      </w14:textFill>
                    </w:rPr>
                  </w:pPr>
                </w:p>
                <w:p w14:paraId="19648E3E">
                  <w:pPr>
                    <w:jc w:val="center"/>
                    <w:rPr>
                      <w:rFonts w:hint="default" w:ascii="Times New Roman" w:hAnsi="Times New Roman" w:cs="Times New Roman"/>
                      <w:color w:val="000000" w:themeColor="text1"/>
                      <w:szCs w:val="21"/>
                      <w:highlight w:val="none"/>
                      <w14:textFill>
                        <w14:solidFill>
                          <w14:schemeClr w14:val="tx1"/>
                        </w14:solidFill>
                      </w14:textFill>
                    </w:rPr>
                  </w:pPr>
                </w:p>
                <w:p w14:paraId="41B1A349">
                  <w:pPr>
                    <w:jc w:val="center"/>
                    <w:rPr>
                      <w:rFonts w:hint="default" w:ascii="Times New Roman" w:hAnsi="Times New Roman" w:cs="Times New Roman"/>
                      <w:color w:val="000000" w:themeColor="text1"/>
                      <w:szCs w:val="21"/>
                      <w:highlight w:val="none"/>
                      <w14:textFill>
                        <w14:solidFill>
                          <w14:schemeClr w14:val="tx1"/>
                        </w14:solidFill>
                      </w14:textFill>
                    </w:rPr>
                  </w:pPr>
                </w:p>
                <w:p w14:paraId="56D1FB4A">
                  <w:pPr>
                    <w:jc w:val="center"/>
                    <w:rPr>
                      <w:rFonts w:hint="default" w:ascii="Times New Roman" w:hAnsi="Times New Roman" w:cs="Times New Roman"/>
                      <w:color w:val="000000" w:themeColor="text1"/>
                      <w:szCs w:val="21"/>
                      <w:highlight w:val="none"/>
                      <w14:textFill>
                        <w14:solidFill>
                          <w14:schemeClr w14:val="tx1"/>
                        </w14:solidFill>
                      </w14:textFill>
                    </w:rPr>
                  </w:pPr>
                </w:p>
                <w:p w14:paraId="50A2229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3"/>
                      <w:szCs w:val="21"/>
                      <w:highlight w:val="none"/>
                      <w14:textFill>
                        <w14:solidFill>
                          <w14:schemeClr w14:val="tx1"/>
                        </w14:solidFill>
                      </w14:textFill>
                    </w:rPr>
                    <w:t>生产</w:t>
                  </w:r>
                </w:p>
              </w:tc>
              <w:tc>
                <w:tcPr>
                  <w:tcW w:w="820" w:type="pct"/>
                  <w:vAlign w:val="center"/>
                </w:tcPr>
                <w:p w14:paraId="771508F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9"/>
                      <w:szCs w:val="21"/>
                      <w:highlight w:val="none"/>
                      <w14:textFill>
                        <w14:solidFill>
                          <w14:schemeClr w14:val="tx1"/>
                        </w14:solidFill>
                      </w14:textFill>
                    </w:rPr>
                    <w:t>边角钢料、机加工废料</w:t>
                  </w:r>
                </w:p>
              </w:tc>
              <w:tc>
                <w:tcPr>
                  <w:tcW w:w="917" w:type="pct"/>
                  <w:vAlign w:val="center"/>
                </w:tcPr>
                <w:p w14:paraId="7D05C1F8">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8"/>
                      <w:sz w:val="21"/>
                      <w:szCs w:val="21"/>
                      <w:highlight w:val="none"/>
                      <w14:textFill>
                        <w14:solidFill>
                          <w14:schemeClr w14:val="tx1"/>
                        </w14:solidFill>
                      </w14:textFill>
                    </w:rPr>
                    <w:t>10</w:t>
                  </w:r>
                </w:p>
              </w:tc>
              <w:tc>
                <w:tcPr>
                  <w:tcW w:w="1041" w:type="pct"/>
                  <w:vMerge w:val="restart"/>
                  <w:vAlign w:val="center"/>
                </w:tcPr>
                <w:p w14:paraId="60EF49FE">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分类收集、定点贮存、及时外运交由环卫部门处置</w:t>
                  </w:r>
                </w:p>
              </w:tc>
              <w:tc>
                <w:tcPr>
                  <w:tcW w:w="1115" w:type="pct"/>
                  <w:vAlign w:val="center"/>
                </w:tcPr>
                <w:p w14:paraId="56F67BB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2DD2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6332B14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2AC7B13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49E7065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沉降的金属碎屑及尘</w:t>
                  </w:r>
                  <w:r>
                    <w:rPr>
                      <w:rFonts w:hint="default" w:ascii="Times New Roman" w:hAnsi="Times New Roman" w:cs="Times New Roman"/>
                      <w:color w:val="000000" w:themeColor="text1"/>
                      <w:szCs w:val="21"/>
                      <w:highlight w:val="none"/>
                      <w14:textFill>
                        <w14:solidFill>
                          <w14:schemeClr w14:val="tx1"/>
                        </w14:solidFill>
                      </w14:textFill>
                    </w:rPr>
                    <w:t>灰</w:t>
                  </w:r>
                </w:p>
              </w:tc>
              <w:tc>
                <w:tcPr>
                  <w:tcW w:w="917" w:type="pct"/>
                  <w:vAlign w:val="center"/>
                </w:tcPr>
                <w:p w14:paraId="3EEC0722">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0.9</w:t>
                  </w:r>
                </w:p>
              </w:tc>
              <w:tc>
                <w:tcPr>
                  <w:tcW w:w="1041" w:type="pct"/>
                  <w:vMerge w:val="continue"/>
                  <w:vAlign w:val="center"/>
                </w:tcPr>
                <w:p w14:paraId="7FDA8C0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7E3AB8D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3C155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0FA8FDC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611CADA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243E00B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布袋收尘</w:t>
                  </w:r>
                </w:p>
              </w:tc>
              <w:tc>
                <w:tcPr>
                  <w:tcW w:w="917" w:type="pct"/>
                  <w:vAlign w:val="center"/>
                </w:tcPr>
                <w:p w14:paraId="79AF00D0">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0.594</w:t>
                  </w:r>
                </w:p>
              </w:tc>
              <w:tc>
                <w:tcPr>
                  <w:tcW w:w="1041" w:type="pct"/>
                  <w:vMerge w:val="continue"/>
                  <w:vAlign w:val="center"/>
                </w:tcPr>
                <w:p w14:paraId="49BF279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455DD73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4B2A1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193B14F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0AA0194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3AF59E1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废焊条、焊渣</w:t>
                  </w:r>
                </w:p>
              </w:tc>
              <w:tc>
                <w:tcPr>
                  <w:tcW w:w="917" w:type="pct"/>
                  <w:vAlign w:val="center"/>
                </w:tcPr>
                <w:p w14:paraId="7BBDC8A4">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4</w:t>
                  </w:r>
                </w:p>
              </w:tc>
              <w:tc>
                <w:tcPr>
                  <w:tcW w:w="1041" w:type="pct"/>
                  <w:vMerge w:val="continue"/>
                  <w:vAlign w:val="center"/>
                </w:tcPr>
                <w:p w14:paraId="3AC72CF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0614130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78DA0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29DE084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45EF521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092E450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废钢砂</w:t>
                  </w:r>
                </w:p>
              </w:tc>
              <w:tc>
                <w:tcPr>
                  <w:tcW w:w="917" w:type="pct"/>
                  <w:vAlign w:val="center"/>
                </w:tcPr>
                <w:p w14:paraId="4F1C031A">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041" w:type="pct"/>
                  <w:vMerge w:val="continue"/>
                  <w:vAlign w:val="center"/>
                </w:tcPr>
                <w:p w14:paraId="00AFCE3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73860E2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5B6A6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5EFEA8B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6A9C4F7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09A1B59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废液压油</w:t>
                  </w:r>
                </w:p>
              </w:tc>
              <w:tc>
                <w:tcPr>
                  <w:tcW w:w="917" w:type="pct"/>
                  <w:vAlign w:val="center"/>
                </w:tcPr>
                <w:p w14:paraId="1BC12E04">
                  <w:pPr>
                    <w:pStyle w:val="103"/>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0.15</w:t>
                  </w:r>
                </w:p>
              </w:tc>
              <w:tc>
                <w:tcPr>
                  <w:tcW w:w="1041" w:type="pct"/>
                  <w:vMerge w:val="restart"/>
                  <w:vAlign w:val="center"/>
                </w:tcPr>
                <w:p w14:paraId="5D0F0B18">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危废暂存间分类暂存，定期委托有资质的单位处理</w:t>
                  </w:r>
                </w:p>
                <w:p w14:paraId="2529880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4554A5D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57C04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1AFF283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49B6F02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0A27825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废乳化液</w:t>
                  </w:r>
                </w:p>
              </w:tc>
              <w:tc>
                <w:tcPr>
                  <w:tcW w:w="917" w:type="pct"/>
                  <w:vAlign w:val="center"/>
                </w:tcPr>
                <w:p w14:paraId="28BF7D8D">
                  <w:pPr>
                    <w:pStyle w:val="103"/>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0.03</w:t>
                  </w:r>
                </w:p>
              </w:tc>
              <w:tc>
                <w:tcPr>
                  <w:tcW w:w="1041" w:type="pct"/>
                  <w:vMerge w:val="continue"/>
                  <w:vAlign w:val="center"/>
                </w:tcPr>
                <w:p w14:paraId="5540441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1D8022B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230AA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0781E95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1DE1353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63C2BEC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废包装桶</w:t>
                  </w:r>
                </w:p>
              </w:tc>
              <w:tc>
                <w:tcPr>
                  <w:tcW w:w="917" w:type="pct"/>
                  <w:vAlign w:val="center"/>
                </w:tcPr>
                <w:p w14:paraId="411D4BDB">
                  <w:pPr>
                    <w:pStyle w:val="103"/>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0.145</w:t>
                  </w:r>
                </w:p>
              </w:tc>
              <w:tc>
                <w:tcPr>
                  <w:tcW w:w="1041" w:type="pct"/>
                  <w:vMerge w:val="continue"/>
                  <w:vAlign w:val="center"/>
                </w:tcPr>
                <w:p w14:paraId="1BF3E48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7693E6D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4A62C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69E20FD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2086F71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74C0E49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废过滤棉</w:t>
                  </w:r>
                </w:p>
              </w:tc>
              <w:tc>
                <w:tcPr>
                  <w:tcW w:w="917" w:type="pct"/>
                  <w:vAlign w:val="center"/>
                </w:tcPr>
                <w:p w14:paraId="270F905D">
                  <w:pPr>
                    <w:pStyle w:val="103"/>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eastAsia="zh-CN"/>
                      <w14:textFill>
                        <w14:solidFill>
                          <w14:schemeClr w14:val="tx1"/>
                        </w14:solidFill>
                      </w14:textFill>
                    </w:rPr>
                    <w:t>0.48t/a</w:t>
                  </w:r>
                </w:p>
              </w:tc>
              <w:tc>
                <w:tcPr>
                  <w:tcW w:w="1041" w:type="pct"/>
                  <w:vMerge w:val="continue"/>
                  <w:vAlign w:val="center"/>
                </w:tcPr>
                <w:p w14:paraId="1B22092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03C57D4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4DF81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4B27CF1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51418525">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599DAEB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4"/>
                      <w:szCs w:val="21"/>
                      <w:highlight w:val="none"/>
                      <w14:textFill>
                        <w14:solidFill>
                          <w14:schemeClr w14:val="tx1"/>
                        </w14:solidFill>
                      </w14:textFill>
                    </w:rPr>
                    <w:t>漆渣</w:t>
                  </w:r>
                </w:p>
              </w:tc>
              <w:tc>
                <w:tcPr>
                  <w:tcW w:w="917" w:type="pct"/>
                  <w:vAlign w:val="center"/>
                </w:tcPr>
                <w:p w14:paraId="114466E5">
                  <w:pPr>
                    <w:pStyle w:val="103"/>
                    <w:jc w:val="center"/>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0.6305</w:t>
                  </w:r>
                </w:p>
              </w:tc>
              <w:tc>
                <w:tcPr>
                  <w:tcW w:w="1041" w:type="pct"/>
                  <w:vMerge w:val="continue"/>
                  <w:vAlign w:val="center"/>
                </w:tcPr>
                <w:p w14:paraId="082C0C7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1CE6668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739B8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42D2301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148C85A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6DF12013">
                  <w:pPr>
                    <w:jc w:val="center"/>
                    <w:rPr>
                      <w:rFonts w:hint="default" w:ascii="Times New Roman" w:hAnsi="Times New Roman" w:cs="Times New Roman"/>
                      <w:color w:val="000000" w:themeColor="text1"/>
                      <w:spacing w:val="4"/>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废活性炭</w:t>
                  </w:r>
                </w:p>
              </w:tc>
              <w:tc>
                <w:tcPr>
                  <w:tcW w:w="917" w:type="pct"/>
                  <w:vAlign w:val="center"/>
                </w:tcPr>
                <w:p w14:paraId="56687E20">
                  <w:pPr>
                    <w:pStyle w:val="103"/>
                    <w:jc w:val="cente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4.3765</w:t>
                  </w:r>
                </w:p>
              </w:tc>
              <w:tc>
                <w:tcPr>
                  <w:tcW w:w="1041" w:type="pct"/>
                  <w:vMerge w:val="continue"/>
                  <w:vAlign w:val="center"/>
                </w:tcPr>
                <w:p w14:paraId="01BB69F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0DDD087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r w14:paraId="08309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3" w:type="pct"/>
                  <w:vMerge w:val="continue"/>
                  <w:vAlign w:val="center"/>
                </w:tcPr>
                <w:p w14:paraId="2FEA1FE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72" w:type="pct"/>
                  <w:vMerge w:val="continue"/>
                  <w:vAlign w:val="center"/>
                </w:tcPr>
                <w:p w14:paraId="43D590D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20" w:type="pct"/>
                  <w:vAlign w:val="center"/>
                </w:tcPr>
                <w:p w14:paraId="73227858">
                  <w:pPr>
                    <w:pStyle w:val="103"/>
                    <w:jc w:val="center"/>
                    <w:rPr>
                      <w:rFonts w:hint="default" w:ascii="Times New Roman" w:hAnsi="Times New Roman" w:eastAsia="宋体" w:cs="Times New Roman"/>
                      <w:color w:val="000000" w:themeColor="text1"/>
                      <w:spacing w:val="4"/>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lang w:eastAsia="zh-CN"/>
                      <w14:textFill>
                        <w14:solidFill>
                          <w14:schemeClr w14:val="tx1"/>
                        </w14:solidFill>
                      </w14:textFill>
                    </w:rPr>
                    <w:t>废</w:t>
                  </w:r>
                  <w:r>
                    <w:rPr>
                      <w:rFonts w:hint="default" w:ascii="Times New Roman" w:hAnsi="Times New Roman" w:eastAsia="宋体" w:cs="Times New Roman"/>
                      <w:color w:val="000000" w:themeColor="text1"/>
                      <w:spacing w:val="-46"/>
                      <w:sz w:val="21"/>
                      <w:szCs w:val="21"/>
                      <w:highlight w:val="none"/>
                      <w:lang w:eastAsia="zh-CN"/>
                      <w14:textFill>
                        <w14:solidFill>
                          <w14:schemeClr w14:val="tx1"/>
                        </w14:solidFill>
                      </w14:textFill>
                    </w:rPr>
                    <w:t xml:space="preserve"> </w:t>
                  </w:r>
                  <w:r>
                    <w:rPr>
                      <w:rFonts w:hint="default" w:ascii="Times New Roman" w:hAnsi="Times New Roman" w:cs="Times New Roman"/>
                      <w:color w:val="000000" w:themeColor="text1"/>
                      <w:sz w:val="21"/>
                      <w:szCs w:val="21"/>
                      <w:highlight w:val="none"/>
                      <w:lang w:eastAsia="zh-CN"/>
                      <w14:textFill>
                        <w14:solidFill>
                          <w14:schemeClr w14:val="tx1"/>
                        </w14:solidFill>
                      </w14:textFill>
                    </w:rPr>
                    <w:t>UV</w:t>
                  </w:r>
                  <w:r>
                    <w:rPr>
                      <w:rFonts w:hint="default" w:ascii="Times New Roman" w:hAnsi="Times New Roman" w:cs="Times New Roman"/>
                      <w:color w:val="000000" w:themeColor="text1"/>
                      <w:spacing w:val="12"/>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7"/>
                      <w:sz w:val="21"/>
                      <w:szCs w:val="21"/>
                      <w:highlight w:val="none"/>
                      <w:lang w:eastAsia="zh-CN"/>
                      <w14:textFill>
                        <w14:solidFill>
                          <w14:schemeClr w14:val="tx1"/>
                        </w14:solidFill>
                      </w14:textFill>
                    </w:rPr>
                    <w:t>灯管</w:t>
                  </w:r>
                </w:p>
              </w:tc>
              <w:tc>
                <w:tcPr>
                  <w:tcW w:w="917" w:type="pct"/>
                  <w:vAlign w:val="center"/>
                </w:tcPr>
                <w:p w14:paraId="0C6FCBEC">
                  <w:pPr>
                    <w:pStyle w:val="103"/>
                    <w:jc w:val="cente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5</w:t>
                  </w:r>
                  <w:r>
                    <w:rPr>
                      <w:rFonts w:hint="default" w:ascii="Times New Roman" w:hAnsi="Times New Roman" w:cs="Times New Roman"/>
                      <w:color w:val="000000" w:themeColor="text1"/>
                      <w:spacing w:val="10"/>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lang w:eastAsia="zh-CN"/>
                      <w14:textFill>
                        <w14:solidFill>
                          <w14:schemeClr w14:val="tx1"/>
                        </w14:solidFill>
                      </w14:textFill>
                    </w:rPr>
                    <w:t>支</w:t>
                  </w:r>
                </w:p>
              </w:tc>
              <w:tc>
                <w:tcPr>
                  <w:tcW w:w="1041" w:type="pct"/>
                  <w:vMerge w:val="continue"/>
                  <w:vAlign w:val="center"/>
                </w:tcPr>
                <w:p w14:paraId="37EECB4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115" w:type="pct"/>
                  <w:vAlign w:val="center"/>
                </w:tcPr>
                <w:p w14:paraId="5EF8C1D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r>
          </w:tbl>
          <w:p w14:paraId="4B56CF46">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kern w:val="0"/>
                <w:sz w:val="24"/>
                <w:highlight w:val="none"/>
                <w:u w:val="single"/>
                <w14:textFill>
                  <w14:solidFill>
                    <w14:schemeClr w14:val="tx1"/>
                  </w14:solidFill>
                </w14:textFill>
              </w:rPr>
              <w:t>（5）与现有工程有关的主要环境问题及“以新带老”整改措施</w:t>
            </w:r>
          </w:p>
          <w:p w14:paraId="5C5A7E6E">
            <w:pPr>
              <w:pStyle w:val="19"/>
              <w:spacing w:line="360" w:lineRule="auto"/>
              <w:ind w:firstLine="480" w:firstLineChars="200"/>
              <w:rPr>
                <w:rFonts w:hint="default" w:ascii="Times New Roman" w:hAnsi="Times New Roman" w:cs="Times New Roman"/>
                <w:color w:val="000000" w:themeColor="text1"/>
                <w:szCs w:val="24"/>
                <w:highlight w:val="none"/>
                <w:u w:val="single"/>
                <w14:textFill>
                  <w14:solidFill>
                    <w14:schemeClr w14:val="tx1"/>
                  </w14:solidFill>
                </w14:textFill>
              </w:rPr>
            </w:pPr>
            <w:r>
              <w:rPr>
                <w:rFonts w:hint="default" w:ascii="Times New Roman" w:hAnsi="Times New Roman" w:cs="Times New Roman"/>
                <w:color w:val="000000" w:themeColor="text1"/>
                <w:szCs w:val="24"/>
                <w:highlight w:val="none"/>
                <w:u w:val="single"/>
                <w14:textFill>
                  <w14:solidFill>
                    <w14:schemeClr w14:val="tx1"/>
                  </w14:solidFill>
                </w14:textFill>
              </w:rPr>
              <w:t>1）</w:t>
            </w:r>
            <w:r>
              <w:rPr>
                <w:rFonts w:hint="default" w:ascii="Times New Roman" w:hAnsi="Times New Roman" w:cs="Times New Roman"/>
                <w:color w:val="000000" w:themeColor="text1"/>
                <w:szCs w:val="24"/>
                <w:highlight w:val="none"/>
                <w:u w:val="single"/>
                <w14:textFill>
                  <w14:solidFill>
                    <w14:schemeClr w14:val="tx1"/>
                  </w14:solidFill>
                </w14:textFill>
              </w:rPr>
              <w:t>现有项目存在问题</w:t>
            </w:r>
          </w:p>
          <w:p w14:paraId="16B11F2D">
            <w:pPr>
              <w:autoSpaceDE w:val="0"/>
              <w:snapToGrid w:val="0"/>
              <w:spacing w:line="360" w:lineRule="auto"/>
              <w:ind w:firstLine="480" w:firstLineChars="200"/>
              <w:contextualSpacing/>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①</w:t>
            </w:r>
            <w:r>
              <w:rPr>
                <w:rFonts w:hint="default" w:ascii="Times New Roman" w:hAnsi="Times New Roman" w:cs="Times New Roman"/>
                <w:color w:val="000000" w:themeColor="text1"/>
                <w:sz w:val="24"/>
                <w:highlight w:val="none"/>
                <w:u w:val="single"/>
                <w14:textFill>
                  <w14:solidFill>
                    <w14:schemeClr w14:val="tx1"/>
                  </w14:solidFill>
                </w14:textFill>
              </w:rPr>
              <w:t>根据现场调查，厂内污污分流、雨污分流不彻底；</w:t>
            </w:r>
          </w:p>
          <w:p w14:paraId="2405B354">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②</w:t>
            </w:r>
            <w:r>
              <w:rPr>
                <w:rFonts w:hint="default" w:ascii="Times New Roman" w:hAnsi="Times New Roman" w:cs="Times New Roman"/>
                <w:color w:val="000000" w:themeColor="text1"/>
                <w:highlight w:val="none"/>
                <w:u w:val="single"/>
                <w14:textFill>
                  <w14:solidFill>
                    <w14:schemeClr w14:val="tx1"/>
                  </w14:solidFill>
                </w14:textFill>
              </w:rPr>
              <w:t>根据现场调查，厂区</w:t>
            </w:r>
            <w:r>
              <w:rPr>
                <w:rFonts w:hint="default" w:ascii="Times New Roman" w:hAnsi="Times New Roman" w:cs="Times New Roman"/>
                <w:color w:val="000000" w:themeColor="text1"/>
                <w:highlight w:val="none"/>
                <w:u w:val="single"/>
                <w14:textFill>
                  <w14:solidFill>
                    <w14:schemeClr w14:val="tx1"/>
                  </w14:solidFill>
                </w14:textFill>
              </w:rPr>
              <w:t>喷漆室区域外有漆渣掉落，存在喷漆工作不规范，管理不当。</w:t>
            </w:r>
            <w:r>
              <w:rPr>
                <w:rFonts w:hint="default" w:ascii="Times New Roman" w:hAnsi="Times New Roman" w:cs="Times New Roman"/>
                <w:color w:val="000000" w:themeColor="text1"/>
                <w:highlight w:val="none"/>
                <w:u w:val="single"/>
                <w:lang w:val="en-US" w:eastAsia="zh-CN"/>
                <w14:textFill>
                  <w14:solidFill>
                    <w14:schemeClr w14:val="tx1"/>
                  </w14:solidFill>
                </w14:textFill>
              </w:rPr>
              <w:t>同时废气处理设施处理效率不满足</w:t>
            </w:r>
            <w:r>
              <w:rPr>
                <w:rFonts w:hint="default" w:ascii="Times New Roman" w:hAnsi="Times New Roman" w:cs="Times New Roman"/>
                <w:color w:val="000000" w:themeColor="text1"/>
                <w:highlight w:val="none"/>
                <w:u w:val="single"/>
                <w14:textFill>
                  <w14:solidFill>
                    <w14:schemeClr w14:val="tx1"/>
                  </w14:solidFill>
                </w14:textFill>
              </w:rPr>
              <w:t>《深入打好污染防治攻坚战的实施意见》中提升喷涂废气治理效率</w:t>
            </w:r>
            <w:r>
              <w:rPr>
                <w:rFonts w:hint="default" w:ascii="Times New Roman" w:hAnsi="Times New Roman" w:cs="Times New Roman"/>
                <w:color w:val="000000" w:themeColor="text1"/>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 xml:space="preserve"> </w:t>
            </w:r>
            <w:r>
              <w:rPr>
                <w:rFonts w:hint="default" w:ascii="Times New Roman" w:hAnsi="Times New Roman" w:cs="Times New Roman"/>
                <w:color w:val="000000" w:themeColor="text1"/>
                <w:highlight w:val="none"/>
                <w:u w:val="single"/>
                <w:lang w:val="en-US" w:eastAsia="zh-CN"/>
                <w14:textFill>
                  <w14:solidFill>
                    <w14:schemeClr w14:val="tx1"/>
                  </w14:solidFill>
                </w14:textFill>
              </w:rPr>
              <w:t>超低排放</w:t>
            </w:r>
            <w:r>
              <w:rPr>
                <w:rFonts w:hint="default" w:ascii="Times New Roman" w:hAnsi="Times New Roman" w:cs="Times New Roman"/>
                <w:color w:val="000000" w:themeColor="text1"/>
                <w:highlight w:val="none"/>
                <w:u w:val="single"/>
                <w14:textFill>
                  <w14:solidFill>
                    <w14:schemeClr w14:val="tx1"/>
                  </w14:solidFill>
                </w14:textFill>
              </w:rPr>
              <w:t>减排目标</w:t>
            </w:r>
            <w:r>
              <w:rPr>
                <w:rFonts w:hint="default" w:ascii="Times New Roman" w:hAnsi="Times New Roman" w:cs="Times New Roman"/>
                <w:color w:val="000000" w:themeColor="text1"/>
                <w:highlight w:val="none"/>
                <w:u w:val="single"/>
                <w:lang w:val="en-US" w:eastAsia="zh-CN"/>
                <w14:textFill>
                  <w14:solidFill>
                    <w14:schemeClr w14:val="tx1"/>
                  </w14:solidFill>
                </w14:textFill>
              </w:rPr>
              <w:t>要求。</w:t>
            </w:r>
          </w:p>
          <w:p w14:paraId="09BD56EA">
            <w:pPr>
              <w:pStyle w:val="19"/>
              <w:spacing w:line="360" w:lineRule="auto"/>
              <w:ind w:firstLine="480" w:firstLineChars="200"/>
              <w:rPr>
                <w:rFonts w:hint="default" w:ascii="Times New Roman" w:hAnsi="Times New Roman" w:cs="Times New Roman"/>
                <w:color w:val="000000" w:themeColor="text1"/>
                <w:szCs w:val="24"/>
                <w:highlight w:val="none"/>
                <w:u w:val="single"/>
                <w14:textFill>
                  <w14:solidFill>
                    <w14:schemeClr w14:val="tx1"/>
                  </w14:solidFill>
                </w14:textFill>
              </w:rPr>
            </w:pPr>
            <w:r>
              <w:rPr>
                <w:rFonts w:hint="default" w:ascii="Times New Roman" w:hAnsi="Times New Roman" w:cs="Times New Roman"/>
                <w:color w:val="000000" w:themeColor="text1"/>
                <w:szCs w:val="24"/>
                <w:highlight w:val="none"/>
                <w:u w:val="single"/>
                <w14:textFill>
                  <w14:solidFill>
                    <w14:schemeClr w14:val="tx1"/>
                  </w14:solidFill>
                </w14:textFill>
              </w:rPr>
              <w:t>2）</w:t>
            </w:r>
            <w:r>
              <w:rPr>
                <w:rFonts w:hint="default" w:ascii="Times New Roman" w:hAnsi="Times New Roman" w:cs="Times New Roman"/>
                <w:color w:val="000000" w:themeColor="text1"/>
                <w:szCs w:val="24"/>
                <w:highlight w:val="none"/>
                <w:u w:val="single"/>
                <w14:textFill>
                  <w14:solidFill>
                    <w14:schemeClr w14:val="tx1"/>
                  </w14:solidFill>
                </w14:textFill>
              </w:rPr>
              <w:t>“以新带老”整改措施</w:t>
            </w:r>
          </w:p>
          <w:p w14:paraId="3FBC07BB">
            <w:pPr>
              <w:autoSpaceDE w:val="0"/>
              <w:adjustRightInd w:val="0"/>
              <w:snapToGrid w:val="0"/>
              <w:spacing w:line="360" w:lineRule="auto"/>
              <w:ind w:firstLine="480" w:firstLineChars="200"/>
              <w:rPr>
                <w:rFonts w:hint="default" w:ascii="Times New Roman" w:hAnsi="Times New Roman" w:cs="Times New Roman"/>
                <w:bCs/>
                <w:color w:val="000000" w:themeColor="text1"/>
                <w:sz w:val="24"/>
                <w:highlight w:val="none"/>
                <w:u w:val="single"/>
                <w14:textFill>
                  <w14:solidFill>
                    <w14:schemeClr w14:val="tx1"/>
                  </w14:solidFill>
                </w14:textFill>
              </w:rPr>
            </w:pPr>
            <w:r>
              <w:rPr>
                <w:rFonts w:hint="default" w:ascii="Times New Roman" w:hAnsi="Times New Roman" w:cs="Times New Roman"/>
                <w:bCs/>
                <w:color w:val="000000" w:themeColor="text1"/>
                <w:sz w:val="24"/>
                <w:highlight w:val="none"/>
                <w:u w:val="single"/>
                <w14:textFill>
                  <w14:solidFill>
                    <w14:schemeClr w14:val="tx1"/>
                  </w14:solidFill>
                </w14:textFill>
              </w:rPr>
              <w:t>①</w:t>
            </w:r>
            <w:r>
              <w:rPr>
                <w:rFonts w:hint="default" w:ascii="Times New Roman" w:hAnsi="Times New Roman" w:cs="Times New Roman"/>
                <w:bCs/>
                <w:color w:val="000000" w:themeColor="text1"/>
                <w:sz w:val="24"/>
                <w:highlight w:val="none"/>
                <w:u w:val="single"/>
                <w14:textFill>
                  <w14:solidFill>
                    <w14:schemeClr w14:val="tx1"/>
                  </w14:solidFill>
                </w14:textFill>
              </w:rPr>
              <w:t>严格执行“雨污分流、污污分流”制，严禁生产废水进入雨水收集沟，禁止排入周边地表水。</w:t>
            </w:r>
          </w:p>
          <w:p w14:paraId="2B8157AB">
            <w:pPr>
              <w:pStyle w:val="40"/>
              <w:spacing w:line="360" w:lineRule="auto"/>
              <w:ind w:firstLine="480" w:firstLineChars="200"/>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②</w:t>
            </w:r>
            <w:r>
              <w:rPr>
                <w:rFonts w:hint="default" w:ascii="Times New Roman" w:hAnsi="Times New Roman" w:cs="Times New Roman"/>
                <w:bCs/>
                <w:color w:val="000000" w:themeColor="text1"/>
                <w:highlight w:val="none"/>
                <w:u w:val="single"/>
                <w14:textFill>
                  <w14:solidFill>
                    <w14:schemeClr w14:val="tx1"/>
                  </w14:solidFill>
                </w14:textFill>
              </w:rPr>
              <w:t>厂内需加强管理，</w:t>
            </w:r>
            <w:r>
              <w:rPr>
                <w:rFonts w:hint="default" w:ascii="Times New Roman" w:hAnsi="Times New Roman" w:cs="Times New Roman"/>
                <w:bCs/>
                <w:color w:val="000000" w:themeColor="text1"/>
                <w:highlight w:val="none"/>
                <w:u w:val="single"/>
                <w14:textFill>
                  <w14:solidFill>
                    <w14:schemeClr w14:val="tx1"/>
                  </w14:solidFill>
                </w14:textFill>
              </w:rPr>
              <w:t>喷漆作业必须在喷漆室进行，严禁在外围区域作业。</w:t>
            </w:r>
            <w:r>
              <w:rPr>
                <w:rFonts w:hint="default" w:ascii="Times New Roman" w:hAnsi="Times New Roman" w:cs="Times New Roman"/>
                <w:bCs/>
                <w:color w:val="000000" w:themeColor="text1"/>
                <w:highlight w:val="none"/>
                <w:u w:val="single"/>
                <w:lang w:val="en-US" w:eastAsia="zh-CN"/>
                <w14:textFill>
                  <w14:solidFill>
                    <w14:schemeClr w14:val="tx1"/>
                  </w14:solidFill>
                </w14:textFill>
              </w:rPr>
              <w:t>同时对废气处理设施进行升级优化，使之达到</w:t>
            </w:r>
            <w:r>
              <w:rPr>
                <w:rFonts w:hint="default" w:ascii="Times New Roman" w:hAnsi="Times New Roman" w:cs="Times New Roman"/>
                <w:color w:val="000000" w:themeColor="text1"/>
                <w:highlight w:val="none"/>
                <w:u w:val="single"/>
                <w:lang w:val="en-US" w:eastAsia="zh-CN"/>
                <w14:textFill>
                  <w14:solidFill>
                    <w14:schemeClr w14:val="tx1"/>
                  </w14:solidFill>
                </w14:textFill>
              </w:rPr>
              <w:t>超低排放</w:t>
            </w:r>
            <w:r>
              <w:rPr>
                <w:rFonts w:hint="default" w:ascii="Times New Roman" w:hAnsi="Times New Roman" w:cs="Times New Roman"/>
                <w:color w:val="000000" w:themeColor="text1"/>
                <w:highlight w:val="none"/>
                <w:u w:val="single"/>
                <w14:textFill>
                  <w14:solidFill>
                    <w14:schemeClr w14:val="tx1"/>
                  </w14:solidFill>
                </w14:textFill>
              </w:rPr>
              <w:t>减排目标</w:t>
            </w:r>
            <w:r>
              <w:rPr>
                <w:rFonts w:hint="default" w:ascii="Times New Roman" w:hAnsi="Times New Roman" w:cs="Times New Roman"/>
                <w:color w:val="000000" w:themeColor="text1"/>
                <w:highlight w:val="none"/>
                <w:u w:val="single"/>
                <w:lang w:eastAsia="zh-CN"/>
                <w14:textFill>
                  <w14:solidFill>
                    <w14:schemeClr w14:val="tx1"/>
                  </w14:solidFill>
                </w14:textFill>
              </w:rPr>
              <w:t>。</w:t>
            </w:r>
          </w:p>
          <w:p w14:paraId="1C0D0095">
            <w:pPr>
              <w:pStyle w:val="40"/>
              <w:tabs>
                <w:tab w:val="left" w:pos="1021"/>
              </w:tabs>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p>
          <w:p w14:paraId="39DC1637">
            <w:pPr>
              <w:pStyle w:val="40"/>
              <w:tabs>
                <w:tab w:val="left" w:pos="1021"/>
              </w:tabs>
              <w:rPr>
                <w:rFonts w:hint="default" w:ascii="Times New Roman" w:hAnsi="Times New Roman" w:cs="Times New Roman"/>
                <w:color w:val="000000" w:themeColor="text1"/>
                <w:highlight w:val="none"/>
                <w14:textFill>
                  <w14:solidFill>
                    <w14:schemeClr w14:val="tx1"/>
                  </w14:solidFill>
                </w14:textFill>
              </w:rPr>
            </w:pPr>
          </w:p>
        </w:tc>
      </w:tr>
    </w:tbl>
    <w:p w14:paraId="687B9D40">
      <w:pPr>
        <w:pStyle w:val="30"/>
        <w:jc w:val="both"/>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sectPr>
          <w:pgSz w:w="11905" w:h="16838"/>
          <w:pgMar w:top="1701" w:right="1531" w:bottom="1701" w:left="1531" w:header="851" w:footer="850" w:gutter="0"/>
          <w:cols w:space="0" w:num="1"/>
          <w:docGrid w:linePitch="312" w:charSpace="0"/>
        </w:sectPr>
      </w:pPr>
    </w:p>
    <w:p w14:paraId="694C912A">
      <w:pPr>
        <w:pStyle w:val="30"/>
        <w:adjustRightInd w:val="0"/>
        <w:snapToGrid w:val="0"/>
        <w:spacing w:before="0" w:beforeAutospacing="0" w:after="0" w:afterAutospacing="0" w:line="14" w:lineRule="auto"/>
        <w:jc w:val="cente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p>
    <w:p w14:paraId="3969EE32">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59" w:name="_Toc17144"/>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三、区域环境质量现状、环境保护目标及评价标准</w:t>
      </w:r>
      <w:bookmarkEnd w:id="59"/>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4703AB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2FE3CA42">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区域</w:t>
            </w:r>
          </w:p>
          <w:p w14:paraId="50D31480">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环境</w:t>
            </w:r>
          </w:p>
          <w:p w14:paraId="4CC65A20">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质量</w:t>
            </w:r>
          </w:p>
          <w:p w14:paraId="707C5F7B">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现状</w:t>
            </w:r>
          </w:p>
        </w:tc>
        <w:tc>
          <w:tcPr>
            <w:tcW w:w="8190" w:type="dxa"/>
            <w:vAlign w:val="center"/>
          </w:tcPr>
          <w:p w14:paraId="6E67D410">
            <w:pPr>
              <w:spacing w:line="360" w:lineRule="auto"/>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一、环境空气质量现状</w:t>
            </w:r>
          </w:p>
          <w:p w14:paraId="203F56B0">
            <w:pPr>
              <w:pStyle w:val="66"/>
              <w:tabs>
                <w:tab w:val="left" w:pos="1021"/>
              </w:tabs>
              <w:spacing w:after="0"/>
              <w:ind w:left="0" w:leftChars="0" w:firstLine="482"/>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1、区域达标判定</w:t>
            </w:r>
          </w:p>
          <w:p w14:paraId="38ED4E9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环境影响评价技术导则-大气环境》（HJ2.2-2018）中“6环境空气质量现状调查与评价”内容，首先需要调查项目所在区域环境质量达标情况，作为项目所在区域是否为达标区的判断依据。并且根据导则“5.5依据评价所需环境空气质量现状、气象资料等数据的可获得性、数量质量、代表性等因素，选择近3年中数据相对完整的1个日历年作为评价基准年”的内容。</w:t>
            </w:r>
          </w:p>
          <w:p w14:paraId="02EBE619">
            <w:pPr>
              <w:spacing w:line="360" w:lineRule="auto"/>
              <w:ind w:firstLine="480"/>
              <w:rPr>
                <w:rFonts w:hint="default" w:ascii="Times New Roman" w:hAnsi="Times New Roman" w:cs="Times New Roman"/>
                <w:color w:val="000000" w:themeColor="text1"/>
                <w:spacing w:val="-6"/>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本次评价收集了衡阳市2024年常规环境空气质量常规监测点的基本污染物环境质量监测数据。2024年衡东县环境空气污染物浓度情况详见表</w:t>
            </w:r>
            <w:r>
              <w:rPr>
                <w:rFonts w:hint="default" w:ascii="Times New Roman" w:hAnsi="Times New Roman" w:cs="Times New Roman"/>
                <w:color w:val="000000" w:themeColor="text1"/>
                <w:spacing w:val="-11"/>
                <w:sz w:val="24"/>
                <w:highlight w:val="none"/>
                <w14:textFill>
                  <w14:solidFill>
                    <w14:schemeClr w14:val="tx1"/>
                  </w14:solidFill>
                </w14:textFill>
              </w:rPr>
              <w:t>3-1</w:t>
            </w:r>
            <w:r>
              <w:rPr>
                <w:rFonts w:hint="default" w:ascii="Times New Roman" w:hAnsi="Times New Roman" w:cs="Times New Roman"/>
                <w:color w:val="000000" w:themeColor="text1"/>
                <w:spacing w:val="-6"/>
                <w:sz w:val="24"/>
                <w:highlight w:val="none"/>
                <w14:textFill>
                  <w14:solidFill>
                    <w14:schemeClr w14:val="tx1"/>
                  </w14:solidFill>
                </w14:textFill>
              </w:rPr>
              <w:t>。</w:t>
            </w:r>
          </w:p>
          <w:p w14:paraId="2EE70342">
            <w:pPr>
              <w:spacing w:line="360" w:lineRule="auto"/>
              <w:jc w:val="center"/>
              <w:rPr>
                <w:rFonts w:hint="default" w:ascii="Times New Roman" w:hAnsi="Times New Roman" w:cs="Times New Roman"/>
                <w:b/>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Cs w:val="21"/>
                <w:highlight w:val="none"/>
                <w14:textFill>
                  <w14:solidFill>
                    <w14:schemeClr w14:val="tx1"/>
                  </w14:solidFill>
                </w14:textFill>
              </w:rPr>
              <w:t>表3-1  区域空气质量现状评价表</w:t>
            </w:r>
          </w:p>
          <w:tbl>
            <w:tblPr>
              <w:tblStyle w:val="33"/>
              <w:tblW w:w="79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2"/>
              <w:gridCol w:w="993"/>
              <w:gridCol w:w="1868"/>
              <w:gridCol w:w="1171"/>
              <w:gridCol w:w="1164"/>
              <w:gridCol w:w="930"/>
              <w:gridCol w:w="1056"/>
            </w:tblGrid>
            <w:tr w14:paraId="5CBEE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782" w:type="dxa"/>
                  <w:tcBorders>
                    <w:tl2br w:val="nil"/>
                    <w:tr2bl w:val="nil"/>
                  </w:tcBorders>
                  <w:noWrap/>
                  <w:vAlign w:val="center"/>
                </w:tcPr>
                <w:p w14:paraId="6F74BAF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所在区域</w:t>
                  </w:r>
                </w:p>
              </w:tc>
              <w:tc>
                <w:tcPr>
                  <w:tcW w:w="993" w:type="dxa"/>
                  <w:tcBorders>
                    <w:tl2br w:val="nil"/>
                    <w:tr2bl w:val="nil"/>
                  </w:tcBorders>
                  <w:noWrap/>
                  <w:vAlign w:val="center"/>
                </w:tcPr>
                <w:p w14:paraId="6C358B3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监测</w:t>
                  </w:r>
                </w:p>
                <w:p w14:paraId="5D2AB5F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项目</w:t>
                  </w:r>
                </w:p>
              </w:tc>
              <w:tc>
                <w:tcPr>
                  <w:tcW w:w="1868" w:type="dxa"/>
                  <w:tcBorders>
                    <w:tl2br w:val="nil"/>
                    <w:tr2bl w:val="nil"/>
                  </w:tcBorders>
                  <w:noWrap/>
                  <w:vAlign w:val="center"/>
                </w:tcPr>
                <w:p w14:paraId="4A94923C">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年评价指标</w:t>
                  </w:r>
                </w:p>
              </w:tc>
              <w:tc>
                <w:tcPr>
                  <w:tcW w:w="1171" w:type="dxa"/>
                  <w:tcBorders>
                    <w:tl2br w:val="nil"/>
                    <w:tr2bl w:val="nil"/>
                  </w:tcBorders>
                  <w:noWrap/>
                  <w:vAlign w:val="center"/>
                </w:tcPr>
                <w:p w14:paraId="40BAF425">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现状浓度（μg/m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1164" w:type="dxa"/>
                  <w:tcBorders>
                    <w:tl2br w:val="nil"/>
                    <w:tr2bl w:val="nil"/>
                  </w:tcBorders>
                  <w:noWrap/>
                  <w:vAlign w:val="center"/>
                </w:tcPr>
                <w:p w14:paraId="5F34FBF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标准值（μg/m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930" w:type="dxa"/>
                  <w:tcBorders>
                    <w:tl2br w:val="nil"/>
                    <w:tr2bl w:val="nil"/>
                  </w:tcBorders>
                  <w:noWrap/>
                  <w:vAlign w:val="center"/>
                </w:tcPr>
                <w:p w14:paraId="0EB237D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占标率</w:t>
                  </w:r>
                </w:p>
              </w:tc>
              <w:tc>
                <w:tcPr>
                  <w:tcW w:w="1056" w:type="dxa"/>
                  <w:tcBorders>
                    <w:tl2br w:val="nil"/>
                    <w:tr2bl w:val="nil"/>
                  </w:tcBorders>
                  <w:noWrap/>
                  <w:vAlign w:val="center"/>
                </w:tcPr>
                <w:p w14:paraId="66155DD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是否达标</w:t>
                  </w:r>
                </w:p>
              </w:tc>
            </w:tr>
            <w:tr w14:paraId="76B47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restart"/>
                  <w:tcBorders>
                    <w:tl2br w:val="nil"/>
                    <w:tr2bl w:val="nil"/>
                  </w:tcBorders>
                  <w:noWrap/>
                  <w:vAlign w:val="center"/>
                </w:tcPr>
                <w:p w14:paraId="22871AC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衡东县</w:t>
                  </w:r>
                </w:p>
              </w:tc>
              <w:tc>
                <w:tcPr>
                  <w:tcW w:w="993" w:type="dxa"/>
                  <w:tcBorders>
                    <w:tl2br w:val="nil"/>
                    <w:tr2bl w:val="nil"/>
                  </w:tcBorders>
                  <w:noWrap/>
                  <w:vAlign w:val="center"/>
                </w:tcPr>
                <w:p w14:paraId="341BE75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868" w:type="dxa"/>
                  <w:tcBorders>
                    <w:tl2br w:val="nil"/>
                    <w:tr2bl w:val="nil"/>
                  </w:tcBorders>
                  <w:noWrap/>
                  <w:vAlign w:val="center"/>
                </w:tcPr>
                <w:p w14:paraId="2D85D4C9">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1171" w:type="dxa"/>
                  <w:tcBorders>
                    <w:tl2br w:val="nil"/>
                    <w:tr2bl w:val="nil"/>
                  </w:tcBorders>
                  <w:noWrap/>
                  <w:vAlign w:val="center"/>
                </w:tcPr>
                <w:p w14:paraId="0240EC0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w:t>
                  </w:r>
                </w:p>
              </w:tc>
              <w:tc>
                <w:tcPr>
                  <w:tcW w:w="1164" w:type="dxa"/>
                  <w:tcBorders>
                    <w:tl2br w:val="nil"/>
                    <w:tr2bl w:val="nil"/>
                  </w:tcBorders>
                  <w:noWrap/>
                  <w:vAlign w:val="center"/>
                </w:tcPr>
                <w:p w14:paraId="0FAA92B2">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60</w:t>
                  </w:r>
                </w:p>
              </w:tc>
              <w:tc>
                <w:tcPr>
                  <w:tcW w:w="930" w:type="dxa"/>
                  <w:tcBorders>
                    <w:tl2br w:val="nil"/>
                    <w:tr2bl w:val="nil"/>
                  </w:tcBorders>
                  <w:noWrap/>
                  <w:vAlign w:val="center"/>
                </w:tcPr>
                <w:p w14:paraId="1DCA703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13.3</w:t>
                  </w:r>
                </w:p>
              </w:tc>
              <w:tc>
                <w:tcPr>
                  <w:tcW w:w="1056" w:type="dxa"/>
                  <w:tcBorders>
                    <w:tl2br w:val="nil"/>
                    <w:tr2bl w:val="nil"/>
                  </w:tcBorders>
                  <w:noWrap/>
                  <w:vAlign w:val="center"/>
                </w:tcPr>
                <w:p w14:paraId="7A3FA546">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19A51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continue"/>
                  <w:tcBorders>
                    <w:tl2br w:val="nil"/>
                    <w:tr2bl w:val="nil"/>
                  </w:tcBorders>
                  <w:noWrap/>
                  <w:vAlign w:val="center"/>
                </w:tcPr>
                <w:p w14:paraId="034FCB3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93" w:type="dxa"/>
                  <w:tcBorders>
                    <w:tl2br w:val="nil"/>
                    <w:tr2bl w:val="nil"/>
                  </w:tcBorders>
                  <w:noWrap/>
                  <w:vAlign w:val="center"/>
                </w:tcPr>
                <w:p w14:paraId="2734A52C">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w:t>
                  </w:r>
                </w:p>
              </w:tc>
              <w:tc>
                <w:tcPr>
                  <w:tcW w:w="1868" w:type="dxa"/>
                  <w:tcBorders>
                    <w:tl2br w:val="nil"/>
                    <w:tr2bl w:val="nil"/>
                  </w:tcBorders>
                  <w:noWrap/>
                  <w:vAlign w:val="center"/>
                </w:tcPr>
                <w:p w14:paraId="29B163C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1171" w:type="dxa"/>
                  <w:tcBorders>
                    <w:tl2br w:val="nil"/>
                    <w:tr2bl w:val="nil"/>
                  </w:tcBorders>
                  <w:noWrap/>
                  <w:vAlign w:val="center"/>
                </w:tcPr>
                <w:p w14:paraId="154E7FA6">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w:t>
                  </w:r>
                </w:p>
              </w:tc>
              <w:tc>
                <w:tcPr>
                  <w:tcW w:w="1164" w:type="dxa"/>
                  <w:tcBorders>
                    <w:tl2br w:val="nil"/>
                    <w:tr2bl w:val="nil"/>
                  </w:tcBorders>
                  <w:noWrap/>
                  <w:vAlign w:val="center"/>
                </w:tcPr>
                <w:p w14:paraId="7F83C46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w:t>
                  </w:r>
                </w:p>
              </w:tc>
              <w:tc>
                <w:tcPr>
                  <w:tcW w:w="930" w:type="dxa"/>
                  <w:tcBorders>
                    <w:tl2br w:val="nil"/>
                    <w:tr2bl w:val="nil"/>
                  </w:tcBorders>
                  <w:noWrap/>
                  <w:vAlign w:val="center"/>
                </w:tcPr>
                <w:p w14:paraId="7D1310C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27.5</w:t>
                  </w:r>
                </w:p>
              </w:tc>
              <w:tc>
                <w:tcPr>
                  <w:tcW w:w="1056" w:type="dxa"/>
                  <w:tcBorders>
                    <w:tl2br w:val="nil"/>
                    <w:tr2bl w:val="nil"/>
                  </w:tcBorders>
                  <w:noWrap/>
                  <w:vAlign w:val="center"/>
                </w:tcPr>
                <w:p w14:paraId="5F78000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26010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continue"/>
                  <w:tcBorders>
                    <w:tl2br w:val="nil"/>
                    <w:tr2bl w:val="nil"/>
                  </w:tcBorders>
                  <w:noWrap/>
                  <w:vAlign w:val="center"/>
                </w:tcPr>
                <w:p w14:paraId="6CC2FD0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93" w:type="dxa"/>
                  <w:tcBorders>
                    <w:tl2br w:val="nil"/>
                    <w:tr2bl w:val="nil"/>
                  </w:tcBorders>
                  <w:noWrap/>
                  <w:vAlign w:val="center"/>
                </w:tcPr>
                <w:p w14:paraId="0F71070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10</w:t>
                  </w:r>
                </w:p>
              </w:tc>
              <w:tc>
                <w:tcPr>
                  <w:tcW w:w="1868" w:type="dxa"/>
                  <w:tcBorders>
                    <w:tl2br w:val="nil"/>
                    <w:tr2bl w:val="nil"/>
                  </w:tcBorders>
                  <w:noWrap/>
                  <w:vAlign w:val="center"/>
                </w:tcPr>
                <w:p w14:paraId="7E274E2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1171" w:type="dxa"/>
                  <w:tcBorders>
                    <w:tl2br w:val="nil"/>
                    <w:tr2bl w:val="nil"/>
                  </w:tcBorders>
                  <w:noWrap/>
                  <w:vAlign w:val="center"/>
                </w:tcPr>
                <w:p w14:paraId="44EE8B0E">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51</w:t>
                  </w:r>
                </w:p>
              </w:tc>
              <w:tc>
                <w:tcPr>
                  <w:tcW w:w="1164" w:type="dxa"/>
                  <w:tcBorders>
                    <w:tl2br w:val="nil"/>
                    <w:tr2bl w:val="nil"/>
                  </w:tcBorders>
                  <w:noWrap/>
                  <w:vAlign w:val="center"/>
                </w:tcPr>
                <w:p w14:paraId="0E598436">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150</w:t>
                  </w:r>
                </w:p>
              </w:tc>
              <w:tc>
                <w:tcPr>
                  <w:tcW w:w="930" w:type="dxa"/>
                  <w:tcBorders>
                    <w:tl2br w:val="nil"/>
                    <w:tr2bl w:val="nil"/>
                  </w:tcBorders>
                  <w:noWrap/>
                  <w:vAlign w:val="center"/>
                </w:tcPr>
                <w:p w14:paraId="1B31C33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34.0</w:t>
                  </w:r>
                </w:p>
              </w:tc>
              <w:tc>
                <w:tcPr>
                  <w:tcW w:w="1056" w:type="dxa"/>
                  <w:tcBorders>
                    <w:tl2br w:val="nil"/>
                    <w:tr2bl w:val="nil"/>
                  </w:tcBorders>
                  <w:noWrap/>
                  <w:vAlign w:val="center"/>
                </w:tcPr>
                <w:p w14:paraId="5F1AE647">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4D5A4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continue"/>
                  <w:tcBorders>
                    <w:tl2br w:val="nil"/>
                    <w:tr2bl w:val="nil"/>
                  </w:tcBorders>
                  <w:noWrap/>
                  <w:vAlign w:val="center"/>
                </w:tcPr>
                <w:p w14:paraId="119DF239">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93" w:type="dxa"/>
                  <w:tcBorders>
                    <w:tl2br w:val="nil"/>
                    <w:tr2bl w:val="nil"/>
                  </w:tcBorders>
                  <w:noWrap/>
                  <w:vAlign w:val="center"/>
                </w:tcPr>
                <w:p w14:paraId="73623E95">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PM</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2.5</w:t>
                  </w:r>
                </w:p>
              </w:tc>
              <w:tc>
                <w:tcPr>
                  <w:tcW w:w="1868" w:type="dxa"/>
                  <w:tcBorders>
                    <w:tl2br w:val="nil"/>
                    <w:tr2bl w:val="nil"/>
                  </w:tcBorders>
                  <w:noWrap/>
                  <w:vAlign w:val="center"/>
                </w:tcPr>
                <w:p w14:paraId="1B07DE15">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年平均质量浓度</w:t>
                  </w:r>
                </w:p>
              </w:tc>
              <w:tc>
                <w:tcPr>
                  <w:tcW w:w="1171" w:type="dxa"/>
                  <w:tcBorders>
                    <w:tl2br w:val="nil"/>
                    <w:tr2bl w:val="nil"/>
                  </w:tcBorders>
                  <w:noWrap/>
                  <w:vAlign w:val="center"/>
                </w:tcPr>
                <w:p w14:paraId="17DF7A2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31</w:t>
                  </w:r>
                </w:p>
              </w:tc>
              <w:tc>
                <w:tcPr>
                  <w:tcW w:w="1164" w:type="dxa"/>
                  <w:tcBorders>
                    <w:tl2br w:val="nil"/>
                    <w:tr2bl w:val="nil"/>
                  </w:tcBorders>
                  <w:noWrap/>
                  <w:vAlign w:val="center"/>
                </w:tcPr>
                <w:p w14:paraId="735E4903">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w:t>
                  </w:r>
                </w:p>
              </w:tc>
              <w:tc>
                <w:tcPr>
                  <w:tcW w:w="930" w:type="dxa"/>
                  <w:tcBorders>
                    <w:tl2br w:val="nil"/>
                    <w:tr2bl w:val="nil"/>
                  </w:tcBorders>
                  <w:noWrap/>
                  <w:vAlign w:val="center"/>
                </w:tcPr>
                <w:p w14:paraId="0323FB4B">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88.6</w:t>
                  </w:r>
                </w:p>
              </w:tc>
              <w:tc>
                <w:tcPr>
                  <w:tcW w:w="1056" w:type="dxa"/>
                  <w:tcBorders>
                    <w:tl2br w:val="nil"/>
                    <w:tr2bl w:val="nil"/>
                  </w:tcBorders>
                  <w:noWrap/>
                  <w:vAlign w:val="center"/>
                </w:tcPr>
                <w:p w14:paraId="166C21D3">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0617E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continue"/>
                  <w:tcBorders>
                    <w:tl2br w:val="nil"/>
                    <w:tr2bl w:val="nil"/>
                  </w:tcBorders>
                  <w:noWrap/>
                  <w:vAlign w:val="center"/>
                </w:tcPr>
                <w:p w14:paraId="1BDFB612">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93" w:type="dxa"/>
                  <w:tcBorders>
                    <w:tl2br w:val="nil"/>
                    <w:tr2bl w:val="nil"/>
                  </w:tcBorders>
                  <w:noWrap/>
                  <w:vAlign w:val="center"/>
                </w:tcPr>
                <w:p w14:paraId="7058A02F">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w:t>
                  </w:r>
                </w:p>
              </w:tc>
              <w:tc>
                <w:tcPr>
                  <w:tcW w:w="1868" w:type="dxa"/>
                  <w:tcBorders>
                    <w:tl2br w:val="nil"/>
                    <w:tr2bl w:val="nil"/>
                  </w:tcBorders>
                  <w:noWrap/>
                  <w:vAlign w:val="center"/>
                </w:tcPr>
                <w:p w14:paraId="13062E80">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95百分位数日平均质量浓度</w:t>
                  </w:r>
                </w:p>
              </w:tc>
              <w:tc>
                <w:tcPr>
                  <w:tcW w:w="1171" w:type="dxa"/>
                  <w:tcBorders>
                    <w:tl2br w:val="nil"/>
                    <w:tr2bl w:val="nil"/>
                  </w:tcBorders>
                  <w:noWrap/>
                  <w:vAlign w:val="center"/>
                </w:tcPr>
                <w:p w14:paraId="6F32AF0D">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1000</w:t>
                  </w:r>
                </w:p>
              </w:tc>
              <w:tc>
                <w:tcPr>
                  <w:tcW w:w="1164" w:type="dxa"/>
                  <w:tcBorders>
                    <w:tl2br w:val="nil"/>
                    <w:tr2bl w:val="nil"/>
                  </w:tcBorders>
                  <w:noWrap/>
                  <w:vAlign w:val="center"/>
                </w:tcPr>
                <w:p w14:paraId="06727BAA">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4000</w:t>
                  </w:r>
                </w:p>
              </w:tc>
              <w:tc>
                <w:tcPr>
                  <w:tcW w:w="930" w:type="dxa"/>
                  <w:tcBorders>
                    <w:tl2br w:val="nil"/>
                    <w:tr2bl w:val="nil"/>
                  </w:tcBorders>
                  <w:noWrap/>
                  <w:vAlign w:val="center"/>
                </w:tcPr>
                <w:p w14:paraId="70FED8A2">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25.0</w:t>
                  </w:r>
                </w:p>
              </w:tc>
              <w:tc>
                <w:tcPr>
                  <w:tcW w:w="1056" w:type="dxa"/>
                  <w:tcBorders>
                    <w:tl2br w:val="nil"/>
                    <w:tr2bl w:val="nil"/>
                  </w:tcBorders>
                  <w:noWrap/>
                  <w:vAlign w:val="center"/>
                </w:tcPr>
                <w:p w14:paraId="7BC9C1AC">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r w14:paraId="5847D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2" w:type="dxa"/>
                  <w:vMerge w:val="continue"/>
                  <w:tcBorders>
                    <w:tl2br w:val="nil"/>
                    <w:tr2bl w:val="nil"/>
                  </w:tcBorders>
                  <w:noWrap/>
                  <w:vAlign w:val="center"/>
                </w:tcPr>
                <w:p w14:paraId="5E611EDB">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993" w:type="dxa"/>
                  <w:tcBorders>
                    <w:tl2br w:val="nil"/>
                    <w:tr2bl w:val="nil"/>
                  </w:tcBorders>
                  <w:noWrap/>
                  <w:vAlign w:val="center"/>
                </w:tcPr>
                <w:p w14:paraId="4EE9919F">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O</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p>
              </w:tc>
              <w:tc>
                <w:tcPr>
                  <w:tcW w:w="1868" w:type="dxa"/>
                  <w:tcBorders>
                    <w:tl2br w:val="nil"/>
                    <w:tr2bl w:val="nil"/>
                  </w:tcBorders>
                  <w:noWrap/>
                  <w:vAlign w:val="center"/>
                </w:tcPr>
                <w:p w14:paraId="71846756">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90百分位数最大8小时平均质量浓度</w:t>
                  </w:r>
                </w:p>
              </w:tc>
              <w:tc>
                <w:tcPr>
                  <w:tcW w:w="1171" w:type="dxa"/>
                  <w:tcBorders>
                    <w:tl2br w:val="nil"/>
                    <w:tr2bl w:val="nil"/>
                  </w:tcBorders>
                  <w:noWrap/>
                  <w:vAlign w:val="center"/>
                </w:tcPr>
                <w:p w14:paraId="7F7D41A1">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134</w:t>
                  </w:r>
                </w:p>
              </w:tc>
              <w:tc>
                <w:tcPr>
                  <w:tcW w:w="1164" w:type="dxa"/>
                  <w:tcBorders>
                    <w:tl2br w:val="nil"/>
                    <w:tr2bl w:val="nil"/>
                  </w:tcBorders>
                  <w:noWrap/>
                  <w:vAlign w:val="center"/>
                </w:tcPr>
                <w:p w14:paraId="034BB334">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160</w:t>
                  </w:r>
                </w:p>
              </w:tc>
              <w:tc>
                <w:tcPr>
                  <w:tcW w:w="930" w:type="dxa"/>
                  <w:tcBorders>
                    <w:tl2br w:val="nil"/>
                    <w:tr2bl w:val="nil"/>
                  </w:tcBorders>
                  <w:noWrap/>
                  <w:vAlign w:val="center"/>
                </w:tcPr>
                <w:p w14:paraId="0A269328">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83.8</w:t>
                  </w:r>
                </w:p>
              </w:tc>
              <w:tc>
                <w:tcPr>
                  <w:tcW w:w="1056" w:type="dxa"/>
                  <w:tcBorders>
                    <w:tl2br w:val="nil"/>
                    <w:tr2bl w:val="nil"/>
                  </w:tcBorders>
                  <w:noWrap/>
                  <w:vAlign w:val="center"/>
                </w:tcPr>
                <w:p w14:paraId="04E82108">
                  <w:pPr>
                    <w:pStyle w:val="2"/>
                    <w:spacing w:after="0"/>
                    <w:ind w:left="0" w:leftChars="0"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达标</w:t>
                  </w:r>
                </w:p>
              </w:tc>
            </w:tr>
          </w:tbl>
          <w:p w14:paraId="57E5080F">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p>
          <w:p w14:paraId="0872FD8C">
            <w:pPr>
              <w:pStyle w:val="66"/>
              <w:tabs>
                <w:tab w:val="left" w:pos="1021"/>
              </w:tabs>
              <w:spacing w:after="0"/>
              <w:ind w:left="0" w:leftChars="0" w:firstLine="0" w:firstLineChars="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46355</wp:posOffset>
                      </wp:positionH>
                      <wp:positionV relativeFrom="paragraph">
                        <wp:posOffset>1329690</wp:posOffset>
                      </wp:positionV>
                      <wp:extent cx="5030470" cy="120650"/>
                      <wp:effectExtent l="12700" t="12700" r="24130" b="19050"/>
                      <wp:wrapNone/>
                      <wp:docPr id="65" name="矩形 65"/>
                      <wp:cNvGraphicFramePr/>
                      <a:graphic xmlns:a="http://schemas.openxmlformats.org/drawingml/2006/main">
                        <a:graphicData uri="http://schemas.microsoft.com/office/word/2010/wordprocessingShape">
                          <wps:wsp>
                            <wps:cNvSpPr/>
                            <wps:spPr>
                              <a:xfrm>
                                <a:off x="1548130" y="2422525"/>
                                <a:ext cx="5030470" cy="1206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5pt;margin-top:104.7pt;height:9.5pt;width:396.1pt;z-index:251666432;v-text-anchor:middle;mso-width-relative:page;mso-height-relative:page;" filled="f" stroked="t" coordsize="21600,21600" o:gfxdata="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bro+9NkAAAAJAQAADwAAAAAAAAABACAAAAAiAAAAZHJzL2Rvd25yZXYu&#10;eG1sUEsBAhQAFAAAAAgAh07iQOokgrVsAgAAwgQAAA4AAAAAAAAAAQAgAAAAKAEAAGRycy9lMm9E&#10;b2MueG1sUEsFBgAAAAAGAAYAWQEAAAYGAAAAAA==&#10;">
                      <v:fill on="f" focussize="0,0"/>
                      <v:stroke weight="2pt" color="#FF0000 [2404]" joinstyle="round"/>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062855" cy="2393950"/>
                  <wp:effectExtent l="0" t="0" r="4445" b="635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23"/>
                          <a:stretch>
                            <a:fillRect/>
                          </a:stretch>
                        </pic:blipFill>
                        <pic:spPr>
                          <a:xfrm>
                            <a:off x="0" y="0"/>
                            <a:ext cx="5062855" cy="2393950"/>
                          </a:xfrm>
                          <a:prstGeom prst="rect">
                            <a:avLst/>
                          </a:prstGeom>
                          <a:noFill/>
                          <a:ln>
                            <a:noFill/>
                          </a:ln>
                        </pic:spPr>
                      </pic:pic>
                    </a:graphicData>
                  </a:graphic>
                </wp:inline>
              </w:drawing>
            </w:r>
          </w:p>
          <w:p w14:paraId="3E758C05">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根据上表可知：项目所在地的PM</w:t>
            </w:r>
            <w:r>
              <w:rPr>
                <w:rFonts w:hint="default" w:ascii="Times New Roman" w:hAnsi="Times New Roman" w:cs="Times New Roman"/>
                <w:color w:val="000000" w:themeColor="text1"/>
                <w:highlight w:val="none"/>
                <w:vertAlign w:val="subscript"/>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t>、PM</w:t>
            </w:r>
            <w:r>
              <w:rPr>
                <w:rFonts w:hint="default" w:ascii="Times New Roman" w:hAnsi="Times New Roman" w:cs="Times New Roman"/>
                <w:color w:val="000000" w:themeColor="text1"/>
                <w:highlight w:val="none"/>
                <w:vertAlign w:val="subscript"/>
                <w14:textFill>
                  <w14:solidFill>
                    <w14:schemeClr w14:val="tx1"/>
                  </w14:solidFill>
                </w14:textFill>
              </w:rPr>
              <w:t>10</w:t>
            </w:r>
            <w:r>
              <w:rPr>
                <w:rFonts w:hint="default" w:ascii="Times New Roman" w:hAnsi="Times New Roman" w:cs="Times New Roman"/>
                <w:color w:val="000000" w:themeColor="text1"/>
                <w:highlight w:val="none"/>
                <w14:textFill>
                  <w14:solidFill>
                    <w14:schemeClr w14:val="tx1"/>
                  </w14:solidFill>
                </w14:textFill>
              </w:rPr>
              <w:t>、SO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、NO</w:t>
            </w:r>
            <w:r>
              <w:rPr>
                <w:rFonts w:hint="default" w:ascii="Times New Roman" w:hAnsi="Times New Roman" w:cs="Times New Roman"/>
                <w:color w:val="000000" w:themeColor="text1"/>
                <w:highlight w:val="none"/>
                <w:vertAlign w:val="subscript"/>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、O</w:t>
            </w:r>
            <w:r>
              <w:rPr>
                <w:rFonts w:hint="default" w:ascii="Times New Roman" w:hAnsi="Times New Roman" w:cs="Times New Roman"/>
                <w:color w:val="000000" w:themeColor="text1"/>
                <w:highlight w:val="none"/>
                <w:vertAlign w:val="sub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、CO年平均浓度值符合《环境空气质量标准》（GB3095-2012）中二级标准要求。根据《环境影响评价技术导则-大气环境》（HJ2.2-2018）中“6.4.1.1 城市环境空气质量达标情况评价指标为二氧化硫、二氧化氮、可吸入颗粒物、细颗粒物、一氧化碳和臭氧，六项污染物全部达标即为城市环境空气质量达标”，可判定本项目所在区域属于达标区。</w:t>
            </w:r>
          </w:p>
          <w:p w14:paraId="3E898371">
            <w:pPr>
              <w:spacing w:line="360" w:lineRule="auto"/>
              <w:ind w:firstLine="480" w:firstLineChars="200"/>
              <w:jc w:val="left"/>
              <w:rPr>
                <w:rFonts w:hint="default" w:ascii="Times New Roman" w:hAnsi="Times New Roman" w:cs="Times New Roman"/>
                <w:bCs/>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同时</w:t>
            </w:r>
            <w:r>
              <w:rPr>
                <w:rFonts w:hint="default" w:ascii="Times New Roman" w:hAnsi="Times New Roman" w:cs="Times New Roman"/>
                <w:bCs/>
                <w:color w:val="000000" w:themeColor="text1"/>
                <w:sz w:val="24"/>
                <w:highlight w:val="none"/>
                <w:u w:val="single"/>
                <w14:textFill>
                  <w14:solidFill>
                    <w14:schemeClr w14:val="tx1"/>
                  </w14:solidFill>
                </w14:textFill>
              </w:rPr>
              <w:t>本次引用2025年2月大浦大气自动监测站数据，数据如下。</w:t>
            </w:r>
          </w:p>
          <w:p w14:paraId="3C8467E8">
            <w:pPr>
              <w:pStyle w:val="4"/>
              <w:spacing w:before="0" w:after="0" w:line="360" w:lineRule="auto"/>
              <w:ind w:left="431" w:hanging="431"/>
              <w:jc w:val="center"/>
              <w:rPr>
                <w:rFonts w:hint="default" w:ascii="Times New Roman" w:hAnsi="Times New Roman" w:eastAsia="宋体" w:cs="Times New Roman"/>
                <w:bCs w:val="0"/>
                <w:color w:val="000000" w:themeColor="text1"/>
                <w:sz w:val="21"/>
                <w:szCs w:val="21"/>
                <w:highlight w:val="none"/>
                <w:u w:val="single"/>
                <w14:textFill>
                  <w14:solidFill>
                    <w14:schemeClr w14:val="tx1"/>
                  </w14:solidFill>
                </w14:textFill>
              </w:rPr>
            </w:pPr>
            <w:bookmarkStart w:id="60" w:name="_Toc13733"/>
            <w:r>
              <w:rPr>
                <w:rFonts w:hint="default" w:ascii="Times New Roman" w:hAnsi="Times New Roman" w:eastAsia="宋体" w:cs="Times New Roman"/>
                <w:bCs w:val="0"/>
                <w:color w:val="000000" w:themeColor="text1"/>
                <w:sz w:val="21"/>
                <w:szCs w:val="21"/>
                <w:highlight w:val="none"/>
                <w:u w:val="single"/>
                <w14:textFill>
                  <w14:solidFill>
                    <w14:schemeClr w14:val="tx1"/>
                  </w14:solidFill>
                </w14:textFill>
              </w:rPr>
              <w:t>表3-2  大气自动监测站数据</w:t>
            </w:r>
            <w:bookmarkEnd w:id="60"/>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561"/>
              <w:gridCol w:w="561"/>
              <w:gridCol w:w="562"/>
              <w:gridCol w:w="562"/>
              <w:gridCol w:w="562"/>
              <w:gridCol w:w="562"/>
              <w:gridCol w:w="562"/>
              <w:gridCol w:w="562"/>
              <w:gridCol w:w="562"/>
              <w:gridCol w:w="562"/>
              <w:gridCol w:w="562"/>
              <w:gridCol w:w="562"/>
              <w:gridCol w:w="562"/>
            </w:tblGrid>
            <w:tr w14:paraId="3703D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3E9311A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时间</w:t>
                  </w:r>
                </w:p>
              </w:tc>
              <w:tc>
                <w:tcPr>
                  <w:tcW w:w="352" w:type="pct"/>
                  <w:shd w:val="clear" w:color="auto" w:fill="auto"/>
                  <w:noWrap/>
                  <w:vAlign w:val="center"/>
                </w:tcPr>
                <w:p w14:paraId="2B196D3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O</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3</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(ppb)</w:t>
                  </w:r>
                </w:p>
              </w:tc>
              <w:tc>
                <w:tcPr>
                  <w:tcW w:w="352" w:type="pct"/>
                  <w:shd w:val="clear" w:color="auto" w:fill="auto"/>
                  <w:noWrap/>
                  <w:vAlign w:val="center"/>
                </w:tcPr>
                <w:p w14:paraId="097EC0C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CO(ppm)</w:t>
                  </w:r>
                </w:p>
              </w:tc>
              <w:tc>
                <w:tcPr>
                  <w:tcW w:w="352" w:type="pct"/>
                  <w:shd w:val="clear" w:color="auto" w:fill="auto"/>
                  <w:noWrap/>
                  <w:vAlign w:val="center"/>
                </w:tcPr>
                <w:p w14:paraId="5EB5585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SO</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2</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(ppb)</w:t>
                  </w:r>
                </w:p>
              </w:tc>
              <w:tc>
                <w:tcPr>
                  <w:tcW w:w="352" w:type="pct"/>
                  <w:shd w:val="clear" w:color="auto" w:fill="auto"/>
                  <w:noWrap/>
                  <w:vAlign w:val="center"/>
                </w:tcPr>
                <w:p w14:paraId="6E0A221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NO(ppb)</w:t>
                  </w:r>
                </w:p>
              </w:tc>
              <w:tc>
                <w:tcPr>
                  <w:tcW w:w="352" w:type="pct"/>
                  <w:shd w:val="clear" w:color="auto" w:fill="auto"/>
                  <w:noWrap/>
                  <w:vAlign w:val="center"/>
                </w:tcPr>
                <w:p w14:paraId="15C9F60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NO</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2</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(ppb)</w:t>
                  </w:r>
                </w:p>
              </w:tc>
              <w:tc>
                <w:tcPr>
                  <w:tcW w:w="352" w:type="pct"/>
                  <w:shd w:val="clear" w:color="auto" w:fill="auto"/>
                  <w:noWrap/>
                  <w:vAlign w:val="center"/>
                </w:tcPr>
                <w:p w14:paraId="7FF0ADE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NOx(ppb)</w:t>
                  </w:r>
                </w:p>
              </w:tc>
              <w:tc>
                <w:tcPr>
                  <w:tcW w:w="352" w:type="pct"/>
                  <w:shd w:val="clear" w:color="auto" w:fill="auto"/>
                  <w:noWrap/>
                  <w:vAlign w:val="center"/>
                </w:tcPr>
                <w:p w14:paraId="4F4B7F2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PM</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10</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(ug/m3)</w:t>
                  </w:r>
                </w:p>
              </w:tc>
              <w:tc>
                <w:tcPr>
                  <w:tcW w:w="352" w:type="pct"/>
                  <w:shd w:val="clear" w:color="auto" w:fill="auto"/>
                  <w:noWrap/>
                  <w:vAlign w:val="center"/>
                </w:tcPr>
                <w:p w14:paraId="1E5AFE0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PM</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2.5</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(ug/m3)</w:t>
                  </w:r>
                </w:p>
              </w:tc>
              <w:tc>
                <w:tcPr>
                  <w:tcW w:w="352" w:type="pct"/>
                  <w:shd w:val="clear" w:color="auto" w:fill="auto"/>
                  <w:noWrap/>
                  <w:vAlign w:val="center"/>
                </w:tcPr>
                <w:p w14:paraId="23CFFEC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温度(℃)</w:t>
                  </w:r>
                </w:p>
              </w:tc>
              <w:tc>
                <w:tcPr>
                  <w:tcW w:w="352" w:type="pct"/>
                  <w:shd w:val="clear" w:color="auto" w:fill="auto"/>
                  <w:noWrap/>
                  <w:vAlign w:val="center"/>
                </w:tcPr>
                <w:p w14:paraId="7D6CEC0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大气压力(kPa)</w:t>
                  </w:r>
                </w:p>
              </w:tc>
              <w:tc>
                <w:tcPr>
                  <w:tcW w:w="352" w:type="pct"/>
                  <w:shd w:val="clear" w:color="auto" w:fill="auto"/>
                  <w:noWrap/>
                  <w:vAlign w:val="center"/>
                </w:tcPr>
                <w:p w14:paraId="56A7D86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湿度(%)</w:t>
                  </w:r>
                </w:p>
              </w:tc>
              <w:tc>
                <w:tcPr>
                  <w:tcW w:w="352" w:type="pct"/>
                  <w:shd w:val="clear" w:color="auto" w:fill="auto"/>
                  <w:noWrap/>
                  <w:vAlign w:val="center"/>
                </w:tcPr>
                <w:p w14:paraId="0025DE0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风速(m/s)</w:t>
                  </w:r>
                </w:p>
              </w:tc>
              <w:tc>
                <w:tcPr>
                  <w:tcW w:w="352" w:type="pct"/>
                  <w:shd w:val="clear" w:color="auto" w:fill="auto"/>
                  <w:noWrap/>
                  <w:vAlign w:val="center"/>
                </w:tcPr>
                <w:p w14:paraId="47C3A0F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风向(°)</w:t>
                  </w:r>
                </w:p>
              </w:tc>
            </w:tr>
            <w:tr w14:paraId="5E3C8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29C3EE2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2025-02-28 00:00:00</w:t>
                  </w:r>
                </w:p>
              </w:tc>
              <w:tc>
                <w:tcPr>
                  <w:tcW w:w="352" w:type="pct"/>
                  <w:shd w:val="clear" w:color="auto" w:fill="auto"/>
                  <w:noWrap/>
                  <w:vAlign w:val="center"/>
                </w:tcPr>
                <w:p w14:paraId="5C93987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48.635</w:t>
                  </w:r>
                </w:p>
              </w:tc>
              <w:tc>
                <w:tcPr>
                  <w:tcW w:w="352" w:type="pct"/>
                  <w:shd w:val="clear" w:color="auto" w:fill="auto"/>
                  <w:noWrap/>
                  <w:vAlign w:val="center"/>
                </w:tcPr>
                <w:p w14:paraId="254C1E3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0.849</w:t>
                  </w:r>
                </w:p>
              </w:tc>
              <w:tc>
                <w:tcPr>
                  <w:tcW w:w="352" w:type="pct"/>
                  <w:shd w:val="clear" w:color="auto" w:fill="auto"/>
                  <w:noWrap/>
                  <w:vAlign w:val="center"/>
                </w:tcPr>
                <w:p w14:paraId="742EE9E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3.026</w:t>
                  </w:r>
                </w:p>
              </w:tc>
              <w:tc>
                <w:tcPr>
                  <w:tcW w:w="352" w:type="pct"/>
                  <w:shd w:val="clear" w:color="auto" w:fill="auto"/>
                  <w:noWrap/>
                  <w:vAlign w:val="center"/>
                </w:tcPr>
                <w:p w14:paraId="46D14F2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3.729</w:t>
                  </w:r>
                </w:p>
              </w:tc>
              <w:tc>
                <w:tcPr>
                  <w:tcW w:w="352" w:type="pct"/>
                  <w:shd w:val="clear" w:color="auto" w:fill="auto"/>
                  <w:noWrap/>
                  <w:vAlign w:val="center"/>
                </w:tcPr>
                <w:p w14:paraId="66D5DF5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9.063</w:t>
                  </w:r>
                </w:p>
              </w:tc>
              <w:tc>
                <w:tcPr>
                  <w:tcW w:w="352" w:type="pct"/>
                  <w:shd w:val="clear" w:color="auto" w:fill="auto"/>
                  <w:noWrap/>
                  <w:vAlign w:val="center"/>
                </w:tcPr>
                <w:p w14:paraId="35E5B61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12.792</w:t>
                  </w:r>
                </w:p>
              </w:tc>
              <w:tc>
                <w:tcPr>
                  <w:tcW w:w="352" w:type="pct"/>
                  <w:shd w:val="clear" w:color="auto" w:fill="auto"/>
                  <w:noWrap/>
                  <w:vAlign w:val="center"/>
                </w:tcPr>
                <w:p w14:paraId="488868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42.187</w:t>
                  </w:r>
                </w:p>
              </w:tc>
              <w:tc>
                <w:tcPr>
                  <w:tcW w:w="352" w:type="pct"/>
                  <w:shd w:val="clear" w:color="auto" w:fill="auto"/>
                  <w:noWrap/>
                  <w:vAlign w:val="center"/>
                </w:tcPr>
                <w:p w14:paraId="341DDAE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22.106</w:t>
                  </w:r>
                </w:p>
              </w:tc>
              <w:tc>
                <w:tcPr>
                  <w:tcW w:w="352" w:type="pct"/>
                  <w:shd w:val="clear" w:color="auto" w:fill="auto"/>
                  <w:noWrap/>
                  <w:vAlign w:val="center"/>
                </w:tcPr>
                <w:p w14:paraId="7863B90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21.705</w:t>
                  </w:r>
                </w:p>
              </w:tc>
              <w:tc>
                <w:tcPr>
                  <w:tcW w:w="352" w:type="pct"/>
                  <w:shd w:val="clear" w:color="auto" w:fill="auto"/>
                  <w:noWrap/>
                  <w:vAlign w:val="center"/>
                </w:tcPr>
                <w:p w14:paraId="24BEAEC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100.595</w:t>
                  </w:r>
                </w:p>
              </w:tc>
              <w:tc>
                <w:tcPr>
                  <w:tcW w:w="352" w:type="pct"/>
                  <w:shd w:val="clear" w:color="auto" w:fill="auto"/>
                  <w:noWrap/>
                  <w:vAlign w:val="center"/>
                </w:tcPr>
                <w:p w14:paraId="4243720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70.023</w:t>
                  </w:r>
                </w:p>
              </w:tc>
              <w:tc>
                <w:tcPr>
                  <w:tcW w:w="352" w:type="pct"/>
                  <w:shd w:val="clear" w:color="auto" w:fill="auto"/>
                  <w:noWrap/>
                  <w:vAlign w:val="center"/>
                </w:tcPr>
                <w:p w14:paraId="307AC57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2.692</w:t>
                  </w:r>
                </w:p>
              </w:tc>
              <w:tc>
                <w:tcPr>
                  <w:tcW w:w="352" w:type="pct"/>
                  <w:shd w:val="clear" w:color="auto" w:fill="auto"/>
                  <w:noWrap/>
                  <w:vAlign w:val="center"/>
                </w:tcPr>
                <w:p w14:paraId="70F7672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248.751</w:t>
                  </w:r>
                </w:p>
              </w:tc>
            </w:tr>
            <w:tr w14:paraId="6FFEA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3110A7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2025-02-27 00:00:00</w:t>
                  </w:r>
                </w:p>
              </w:tc>
              <w:tc>
                <w:tcPr>
                  <w:tcW w:w="352" w:type="pct"/>
                  <w:shd w:val="clear" w:color="auto" w:fill="auto"/>
                  <w:noWrap/>
                  <w:vAlign w:val="center"/>
                </w:tcPr>
                <w:p w14:paraId="4FCA4A7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43.628</w:t>
                  </w:r>
                </w:p>
              </w:tc>
              <w:tc>
                <w:tcPr>
                  <w:tcW w:w="352" w:type="pct"/>
                  <w:shd w:val="clear" w:color="auto" w:fill="auto"/>
                  <w:noWrap/>
                  <w:vAlign w:val="center"/>
                </w:tcPr>
                <w:p w14:paraId="1E96D6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1.043</w:t>
                  </w:r>
                </w:p>
              </w:tc>
              <w:tc>
                <w:tcPr>
                  <w:tcW w:w="352" w:type="pct"/>
                  <w:shd w:val="clear" w:color="auto" w:fill="auto"/>
                  <w:noWrap/>
                  <w:vAlign w:val="center"/>
                </w:tcPr>
                <w:p w14:paraId="1BAFB33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3.615</w:t>
                  </w:r>
                </w:p>
              </w:tc>
              <w:tc>
                <w:tcPr>
                  <w:tcW w:w="352" w:type="pct"/>
                  <w:shd w:val="clear" w:color="auto" w:fill="auto"/>
                  <w:noWrap/>
                  <w:vAlign w:val="center"/>
                </w:tcPr>
                <w:p w14:paraId="3E7BCA4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3.906</w:t>
                  </w:r>
                </w:p>
              </w:tc>
              <w:tc>
                <w:tcPr>
                  <w:tcW w:w="352" w:type="pct"/>
                  <w:shd w:val="clear" w:color="auto" w:fill="auto"/>
                  <w:noWrap/>
                  <w:vAlign w:val="center"/>
                </w:tcPr>
                <w:p w14:paraId="2E0B081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9.169</w:t>
                  </w:r>
                </w:p>
              </w:tc>
              <w:tc>
                <w:tcPr>
                  <w:tcW w:w="352" w:type="pct"/>
                  <w:shd w:val="clear" w:color="auto" w:fill="auto"/>
                  <w:noWrap/>
                  <w:vAlign w:val="center"/>
                </w:tcPr>
                <w:p w14:paraId="78412F9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13.075</w:t>
                  </w:r>
                </w:p>
              </w:tc>
              <w:tc>
                <w:tcPr>
                  <w:tcW w:w="352" w:type="pct"/>
                  <w:shd w:val="clear" w:color="auto" w:fill="auto"/>
                  <w:noWrap/>
                  <w:vAlign w:val="center"/>
                </w:tcPr>
                <w:p w14:paraId="77CBB5A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53.809</w:t>
                  </w:r>
                </w:p>
              </w:tc>
              <w:tc>
                <w:tcPr>
                  <w:tcW w:w="352" w:type="pct"/>
                  <w:shd w:val="clear" w:color="auto" w:fill="auto"/>
                  <w:noWrap/>
                  <w:vAlign w:val="center"/>
                </w:tcPr>
                <w:p w14:paraId="5D03D26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41.233</w:t>
                  </w:r>
                </w:p>
              </w:tc>
              <w:tc>
                <w:tcPr>
                  <w:tcW w:w="352" w:type="pct"/>
                  <w:shd w:val="clear" w:color="auto" w:fill="auto"/>
                  <w:noWrap/>
                  <w:vAlign w:val="center"/>
                </w:tcPr>
                <w:p w14:paraId="76ABAF6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17.122</w:t>
                  </w:r>
                </w:p>
              </w:tc>
              <w:tc>
                <w:tcPr>
                  <w:tcW w:w="352" w:type="pct"/>
                  <w:shd w:val="clear" w:color="auto" w:fill="auto"/>
                  <w:noWrap/>
                  <w:vAlign w:val="center"/>
                </w:tcPr>
                <w:p w14:paraId="3375EC0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101.008</w:t>
                  </w:r>
                </w:p>
              </w:tc>
              <w:tc>
                <w:tcPr>
                  <w:tcW w:w="352" w:type="pct"/>
                  <w:shd w:val="clear" w:color="auto" w:fill="auto"/>
                  <w:noWrap/>
                  <w:vAlign w:val="center"/>
                </w:tcPr>
                <w:p w14:paraId="4DEC6CB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80.47</w:t>
                  </w:r>
                </w:p>
              </w:tc>
              <w:tc>
                <w:tcPr>
                  <w:tcW w:w="352" w:type="pct"/>
                  <w:shd w:val="clear" w:color="auto" w:fill="auto"/>
                  <w:noWrap/>
                  <w:vAlign w:val="center"/>
                </w:tcPr>
                <w:p w14:paraId="021437E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1.473</w:t>
                  </w:r>
                </w:p>
              </w:tc>
              <w:tc>
                <w:tcPr>
                  <w:tcW w:w="352" w:type="pct"/>
                  <w:shd w:val="clear" w:color="auto" w:fill="auto"/>
                  <w:noWrap/>
                  <w:vAlign w:val="center"/>
                </w:tcPr>
                <w:p w14:paraId="5CB03C1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252.448</w:t>
                  </w:r>
                </w:p>
              </w:tc>
            </w:tr>
            <w:tr w14:paraId="02E0A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1740098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2025-02-26 00:00:00</w:t>
                  </w:r>
                </w:p>
              </w:tc>
              <w:tc>
                <w:tcPr>
                  <w:tcW w:w="352" w:type="pct"/>
                  <w:shd w:val="clear" w:color="auto" w:fill="auto"/>
                  <w:noWrap/>
                  <w:vAlign w:val="center"/>
                </w:tcPr>
                <w:p w14:paraId="0EB9992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39.541</w:t>
                  </w:r>
                </w:p>
              </w:tc>
              <w:tc>
                <w:tcPr>
                  <w:tcW w:w="352" w:type="pct"/>
                  <w:shd w:val="clear" w:color="auto" w:fill="auto"/>
                  <w:noWrap/>
                  <w:vAlign w:val="center"/>
                </w:tcPr>
                <w:p w14:paraId="0135D16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0.997</w:t>
                  </w:r>
                </w:p>
              </w:tc>
              <w:tc>
                <w:tcPr>
                  <w:tcW w:w="352" w:type="pct"/>
                  <w:shd w:val="clear" w:color="auto" w:fill="auto"/>
                  <w:noWrap/>
                  <w:vAlign w:val="center"/>
                </w:tcPr>
                <w:p w14:paraId="08AF1A8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5.155</w:t>
                  </w:r>
                </w:p>
              </w:tc>
              <w:tc>
                <w:tcPr>
                  <w:tcW w:w="352" w:type="pct"/>
                  <w:shd w:val="clear" w:color="auto" w:fill="auto"/>
                  <w:noWrap/>
                  <w:vAlign w:val="center"/>
                </w:tcPr>
                <w:p w14:paraId="4099C3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6.578</w:t>
                  </w:r>
                </w:p>
              </w:tc>
              <w:tc>
                <w:tcPr>
                  <w:tcW w:w="352" w:type="pct"/>
                  <w:shd w:val="clear" w:color="auto" w:fill="auto"/>
                  <w:noWrap/>
                  <w:vAlign w:val="center"/>
                </w:tcPr>
                <w:p w14:paraId="65EDE0A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13.064</w:t>
                  </w:r>
                </w:p>
              </w:tc>
              <w:tc>
                <w:tcPr>
                  <w:tcW w:w="352" w:type="pct"/>
                  <w:shd w:val="clear" w:color="auto" w:fill="auto"/>
                  <w:noWrap/>
                  <w:vAlign w:val="center"/>
                </w:tcPr>
                <w:p w14:paraId="71D02C0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19.642</w:t>
                  </w:r>
                </w:p>
              </w:tc>
              <w:tc>
                <w:tcPr>
                  <w:tcW w:w="352" w:type="pct"/>
                  <w:shd w:val="clear" w:color="auto" w:fill="auto"/>
                  <w:noWrap/>
                  <w:vAlign w:val="center"/>
                </w:tcPr>
                <w:p w14:paraId="5A36D03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83.057</w:t>
                  </w:r>
                </w:p>
              </w:tc>
              <w:tc>
                <w:tcPr>
                  <w:tcW w:w="352" w:type="pct"/>
                  <w:shd w:val="clear" w:color="auto" w:fill="auto"/>
                  <w:noWrap/>
                  <w:vAlign w:val="center"/>
                </w:tcPr>
                <w:p w14:paraId="03DE40D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67.665</w:t>
                  </w:r>
                </w:p>
              </w:tc>
              <w:tc>
                <w:tcPr>
                  <w:tcW w:w="352" w:type="pct"/>
                  <w:shd w:val="clear" w:color="auto" w:fill="auto"/>
                  <w:noWrap/>
                  <w:vAlign w:val="center"/>
                </w:tcPr>
                <w:p w14:paraId="006B66A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10.695</w:t>
                  </w:r>
                </w:p>
              </w:tc>
              <w:tc>
                <w:tcPr>
                  <w:tcW w:w="352" w:type="pct"/>
                  <w:shd w:val="clear" w:color="auto" w:fill="auto"/>
                  <w:noWrap/>
                  <w:vAlign w:val="center"/>
                </w:tcPr>
                <w:p w14:paraId="334E04F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102.074</w:t>
                  </w:r>
                </w:p>
              </w:tc>
              <w:tc>
                <w:tcPr>
                  <w:tcW w:w="352" w:type="pct"/>
                  <w:shd w:val="clear" w:color="auto" w:fill="auto"/>
                  <w:noWrap/>
                  <w:vAlign w:val="center"/>
                </w:tcPr>
                <w:p w14:paraId="53221C1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83.835</w:t>
                  </w:r>
                </w:p>
              </w:tc>
              <w:tc>
                <w:tcPr>
                  <w:tcW w:w="352" w:type="pct"/>
                  <w:shd w:val="clear" w:color="auto" w:fill="auto"/>
                  <w:noWrap/>
                  <w:vAlign w:val="center"/>
                </w:tcPr>
                <w:p w14:paraId="5E9CEDA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1.092</w:t>
                  </w:r>
                </w:p>
              </w:tc>
              <w:tc>
                <w:tcPr>
                  <w:tcW w:w="352" w:type="pct"/>
                  <w:shd w:val="clear" w:color="auto" w:fill="auto"/>
                  <w:noWrap/>
                  <w:vAlign w:val="center"/>
                </w:tcPr>
                <w:p w14:paraId="4555AD2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337.059</w:t>
                  </w:r>
                </w:p>
              </w:tc>
            </w:tr>
            <w:tr w14:paraId="1CAAB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7F40EF5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2025-02-25 00:00:00</w:t>
                  </w:r>
                </w:p>
              </w:tc>
              <w:tc>
                <w:tcPr>
                  <w:tcW w:w="352" w:type="pct"/>
                  <w:shd w:val="clear" w:color="auto" w:fill="auto"/>
                  <w:noWrap/>
                  <w:vAlign w:val="center"/>
                </w:tcPr>
                <w:p w14:paraId="792B6C8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34.789</w:t>
                  </w:r>
                </w:p>
              </w:tc>
              <w:tc>
                <w:tcPr>
                  <w:tcW w:w="352" w:type="pct"/>
                  <w:shd w:val="clear" w:color="auto" w:fill="auto"/>
                  <w:noWrap/>
                  <w:vAlign w:val="center"/>
                </w:tcPr>
                <w:p w14:paraId="11EF21D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0.824</w:t>
                  </w:r>
                </w:p>
              </w:tc>
              <w:tc>
                <w:tcPr>
                  <w:tcW w:w="352" w:type="pct"/>
                  <w:shd w:val="clear" w:color="auto" w:fill="auto"/>
                  <w:noWrap/>
                  <w:vAlign w:val="center"/>
                </w:tcPr>
                <w:p w14:paraId="1DF1911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2.648</w:t>
                  </w:r>
                </w:p>
              </w:tc>
              <w:tc>
                <w:tcPr>
                  <w:tcW w:w="352" w:type="pct"/>
                  <w:shd w:val="clear" w:color="auto" w:fill="auto"/>
                  <w:noWrap/>
                  <w:vAlign w:val="center"/>
                </w:tcPr>
                <w:p w14:paraId="575704D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3.809</w:t>
                  </w:r>
                </w:p>
              </w:tc>
              <w:tc>
                <w:tcPr>
                  <w:tcW w:w="352" w:type="pct"/>
                  <w:shd w:val="clear" w:color="auto" w:fill="auto"/>
                  <w:noWrap/>
                  <w:vAlign w:val="center"/>
                </w:tcPr>
                <w:p w14:paraId="40620A9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10.477</w:t>
                  </w:r>
                </w:p>
              </w:tc>
              <w:tc>
                <w:tcPr>
                  <w:tcW w:w="352" w:type="pct"/>
                  <w:shd w:val="clear" w:color="auto" w:fill="auto"/>
                  <w:noWrap/>
                  <w:vAlign w:val="center"/>
                </w:tcPr>
                <w:p w14:paraId="0C3C41A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14.286</w:t>
                  </w:r>
                </w:p>
              </w:tc>
              <w:tc>
                <w:tcPr>
                  <w:tcW w:w="352" w:type="pct"/>
                  <w:shd w:val="clear" w:color="auto" w:fill="auto"/>
                  <w:noWrap/>
                  <w:vAlign w:val="center"/>
                </w:tcPr>
                <w:p w14:paraId="7EB0845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100.062</w:t>
                  </w:r>
                </w:p>
              </w:tc>
              <w:tc>
                <w:tcPr>
                  <w:tcW w:w="352" w:type="pct"/>
                  <w:shd w:val="clear" w:color="auto" w:fill="auto"/>
                  <w:noWrap/>
                  <w:vAlign w:val="center"/>
                </w:tcPr>
                <w:p w14:paraId="54D2703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89.678</w:t>
                  </w:r>
                </w:p>
              </w:tc>
              <w:tc>
                <w:tcPr>
                  <w:tcW w:w="352" w:type="pct"/>
                  <w:shd w:val="clear" w:color="auto" w:fill="auto"/>
                  <w:noWrap/>
                  <w:vAlign w:val="center"/>
                </w:tcPr>
                <w:p w14:paraId="28281A8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8.704</w:t>
                  </w:r>
                </w:p>
              </w:tc>
              <w:tc>
                <w:tcPr>
                  <w:tcW w:w="352" w:type="pct"/>
                  <w:shd w:val="clear" w:color="auto" w:fill="auto"/>
                  <w:noWrap/>
                  <w:vAlign w:val="center"/>
                </w:tcPr>
                <w:p w14:paraId="258F063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102.708</w:t>
                  </w:r>
                </w:p>
              </w:tc>
              <w:tc>
                <w:tcPr>
                  <w:tcW w:w="352" w:type="pct"/>
                  <w:shd w:val="clear" w:color="auto" w:fill="auto"/>
                  <w:noWrap/>
                  <w:vAlign w:val="center"/>
                </w:tcPr>
                <w:p w14:paraId="7AED220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80.989</w:t>
                  </w:r>
                </w:p>
              </w:tc>
              <w:tc>
                <w:tcPr>
                  <w:tcW w:w="352" w:type="pct"/>
                  <w:shd w:val="clear" w:color="auto" w:fill="auto"/>
                  <w:noWrap/>
                  <w:vAlign w:val="center"/>
                </w:tcPr>
                <w:p w14:paraId="7640128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2.49</w:t>
                  </w:r>
                </w:p>
              </w:tc>
              <w:tc>
                <w:tcPr>
                  <w:tcW w:w="352" w:type="pct"/>
                  <w:shd w:val="clear" w:color="auto" w:fill="auto"/>
                  <w:noWrap/>
                  <w:vAlign w:val="center"/>
                </w:tcPr>
                <w:p w14:paraId="1314B68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86.689</w:t>
                  </w:r>
                </w:p>
              </w:tc>
            </w:tr>
            <w:tr w14:paraId="0544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BA9B62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2025-02-24 00:00:00</w:t>
                  </w:r>
                </w:p>
              </w:tc>
              <w:tc>
                <w:tcPr>
                  <w:tcW w:w="352" w:type="pct"/>
                  <w:shd w:val="clear" w:color="auto" w:fill="auto"/>
                  <w:noWrap/>
                  <w:vAlign w:val="center"/>
                </w:tcPr>
                <w:p w14:paraId="18BD84A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45.481</w:t>
                  </w:r>
                </w:p>
              </w:tc>
              <w:tc>
                <w:tcPr>
                  <w:tcW w:w="352" w:type="pct"/>
                  <w:shd w:val="clear" w:color="auto" w:fill="auto"/>
                  <w:noWrap/>
                  <w:vAlign w:val="center"/>
                </w:tcPr>
                <w:p w14:paraId="3995F0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0.966</w:t>
                  </w:r>
                </w:p>
              </w:tc>
              <w:tc>
                <w:tcPr>
                  <w:tcW w:w="352" w:type="pct"/>
                  <w:shd w:val="clear" w:color="auto" w:fill="auto"/>
                  <w:noWrap/>
                  <w:vAlign w:val="center"/>
                </w:tcPr>
                <w:p w14:paraId="48383A7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3.267</w:t>
                  </w:r>
                </w:p>
              </w:tc>
              <w:tc>
                <w:tcPr>
                  <w:tcW w:w="352" w:type="pct"/>
                  <w:shd w:val="clear" w:color="auto" w:fill="auto"/>
                  <w:noWrap/>
                  <w:vAlign w:val="center"/>
                </w:tcPr>
                <w:p w14:paraId="3026AFA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4.005</w:t>
                  </w:r>
                </w:p>
              </w:tc>
              <w:tc>
                <w:tcPr>
                  <w:tcW w:w="352" w:type="pct"/>
                  <w:shd w:val="clear" w:color="auto" w:fill="auto"/>
                  <w:noWrap/>
                  <w:vAlign w:val="center"/>
                </w:tcPr>
                <w:p w14:paraId="572D991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10.514</w:t>
                  </w:r>
                </w:p>
              </w:tc>
              <w:tc>
                <w:tcPr>
                  <w:tcW w:w="352" w:type="pct"/>
                  <w:shd w:val="clear" w:color="auto" w:fill="auto"/>
                  <w:noWrap/>
                  <w:vAlign w:val="center"/>
                </w:tcPr>
                <w:p w14:paraId="0B5812F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14.519</w:t>
                  </w:r>
                </w:p>
              </w:tc>
              <w:tc>
                <w:tcPr>
                  <w:tcW w:w="352" w:type="pct"/>
                  <w:shd w:val="clear" w:color="auto" w:fill="auto"/>
                  <w:noWrap/>
                  <w:vAlign w:val="center"/>
                </w:tcPr>
                <w:p w14:paraId="4CDCDD0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85.426</w:t>
                  </w:r>
                </w:p>
              </w:tc>
              <w:tc>
                <w:tcPr>
                  <w:tcW w:w="352" w:type="pct"/>
                  <w:shd w:val="clear" w:color="auto" w:fill="auto"/>
                  <w:noWrap/>
                  <w:vAlign w:val="center"/>
                </w:tcPr>
                <w:p w14:paraId="501952E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73.124</w:t>
                  </w:r>
                </w:p>
              </w:tc>
              <w:tc>
                <w:tcPr>
                  <w:tcW w:w="352" w:type="pct"/>
                  <w:shd w:val="clear" w:color="auto" w:fill="auto"/>
                  <w:noWrap/>
                  <w:vAlign w:val="center"/>
                </w:tcPr>
                <w:p w14:paraId="768F3D1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8.322</w:t>
                  </w:r>
                </w:p>
              </w:tc>
              <w:tc>
                <w:tcPr>
                  <w:tcW w:w="352" w:type="pct"/>
                  <w:shd w:val="clear" w:color="auto" w:fill="auto"/>
                  <w:noWrap/>
                  <w:vAlign w:val="center"/>
                </w:tcPr>
                <w:p w14:paraId="70268F6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103.074</w:t>
                  </w:r>
                </w:p>
              </w:tc>
              <w:tc>
                <w:tcPr>
                  <w:tcW w:w="352" w:type="pct"/>
                  <w:shd w:val="clear" w:color="auto" w:fill="auto"/>
                  <w:noWrap/>
                  <w:vAlign w:val="center"/>
                </w:tcPr>
                <w:p w14:paraId="1257BD7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81.436</w:t>
                  </w:r>
                </w:p>
              </w:tc>
              <w:tc>
                <w:tcPr>
                  <w:tcW w:w="352" w:type="pct"/>
                  <w:shd w:val="clear" w:color="auto" w:fill="auto"/>
                  <w:noWrap/>
                  <w:vAlign w:val="center"/>
                </w:tcPr>
                <w:p w14:paraId="4B0CDC8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2.074</w:t>
                  </w:r>
                </w:p>
              </w:tc>
              <w:tc>
                <w:tcPr>
                  <w:tcW w:w="352" w:type="pct"/>
                  <w:shd w:val="clear" w:color="auto" w:fill="auto"/>
                  <w:noWrap/>
                  <w:vAlign w:val="center"/>
                </w:tcPr>
                <w:p w14:paraId="4775979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74.971</w:t>
                  </w:r>
                </w:p>
              </w:tc>
            </w:tr>
            <w:tr w14:paraId="6FC81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2818EA7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2025-02-23 00:00:00</w:t>
                  </w:r>
                </w:p>
              </w:tc>
              <w:tc>
                <w:tcPr>
                  <w:tcW w:w="352" w:type="pct"/>
                  <w:shd w:val="clear" w:color="auto" w:fill="auto"/>
                  <w:noWrap/>
                  <w:vAlign w:val="center"/>
                </w:tcPr>
                <w:p w14:paraId="5EE6D7C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35.35</w:t>
                  </w:r>
                </w:p>
              </w:tc>
              <w:tc>
                <w:tcPr>
                  <w:tcW w:w="352" w:type="pct"/>
                  <w:shd w:val="clear" w:color="auto" w:fill="auto"/>
                  <w:noWrap/>
                  <w:vAlign w:val="center"/>
                </w:tcPr>
                <w:p w14:paraId="58F0C84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0.963</w:t>
                  </w:r>
                </w:p>
              </w:tc>
              <w:tc>
                <w:tcPr>
                  <w:tcW w:w="352" w:type="pct"/>
                  <w:shd w:val="clear" w:color="auto" w:fill="auto"/>
                  <w:noWrap/>
                  <w:vAlign w:val="center"/>
                </w:tcPr>
                <w:p w14:paraId="283F531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1.934</w:t>
                  </w:r>
                </w:p>
              </w:tc>
              <w:tc>
                <w:tcPr>
                  <w:tcW w:w="352" w:type="pct"/>
                  <w:shd w:val="clear" w:color="auto" w:fill="auto"/>
                  <w:noWrap/>
                  <w:vAlign w:val="center"/>
                </w:tcPr>
                <w:p w14:paraId="206334E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3.591</w:t>
                  </w:r>
                </w:p>
              </w:tc>
              <w:tc>
                <w:tcPr>
                  <w:tcW w:w="352" w:type="pct"/>
                  <w:shd w:val="clear" w:color="auto" w:fill="auto"/>
                  <w:noWrap/>
                  <w:vAlign w:val="center"/>
                </w:tcPr>
                <w:p w14:paraId="18F2624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6.676</w:t>
                  </w:r>
                </w:p>
              </w:tc>
              <w:tc>
                <w:tcPr>
                  <w:tcW w:w="352" w:type="pct"/>
                  <w:shd w:val="clear" w:color="auto" w:fill="auto"/>
                  <w:noWrap/>
                  <w:vAlign w:val="center"/>
                </w:tcPr>
                <w:p w14:paraId="25B22DF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10.267</w:t>
                  </w:r>
                </w:p>
              </w:tc>
              <w:tc>
                <w:tcPr>
                  <w:tcW w:w="352" w:type="pct"/>
                  <w:shd w:val="clear" w:color="auto" w:fill="auto"/>
                  <w:noWrap/>
                  <w:vAlign w:val="center"/>
                </w:tcPr>
                <w:p w14:paraId="3F9B331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46.966</w:t>
                  </w:r>
                </w:p>
              </w:tc>
              <w:tc>
                <w:tcPr>
                  <w:tcW w:w="352" w:type="pct"/>
                  <w:shd w:val="clear" w:color="auto" w:fill="auto"/>
                  <w:noWrap/>
                  <w:vAlign w:val="center"/>
                </w:tcPr>
                <w:p w14:paraId="40035CE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36.017</w:t>
                  </w:r>
                </w:p>
              </w:tc>
              <w:tc>
                <w:tcPr>
                  <w:tcW w:w="352" w:type="pct"/>
                  <w:shd w:val="clear" w:color="auto" w:fill="auto"/>
                  <w:noWrap/>
                  <w:vAlign w:val="center"/>
                </w:tcPr>
                <w:p w14:paraId="5C0F230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7.357</w:t>
                  </w:r>
                </w:p>
              </w:tc>
              <w:tc>
                <w:tcPr>
                  <w:tcW w:w="352" w:type="pct"/>
                  <w:shd w:val="clear" w:color="auto" w:fill="auto"/>
                  <w:noWrap/>
                  <w:vAlign w:val="center"/>
                </w:tcPr>
                <w:p w14:paraId="4BC027C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103.297</w:t>
                  </w:r>
                </w:p>
              </w:tc>
              <w:tc>
                <w:tcPr>
                  <w:tcW w:w="352" w:type="pct"/>
                  <w:shd w:val="clear" w:color="auto" w:fill="auto"/>
                  <w:noWrap/>
                  <w:vAlign w:val="center"/>
                </w:tcPr>
                <w:p w14:paraId="25C2BB6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90.533</w:t>
                  </w:r>
                </w:p>
              </w:tc>
              <w:tc>
                <w:tcPr>
                  <w:tcW w:w="352" w:type="pct"/>
                  <w:shd w:val="clear" w:color="auto" w:fill="auto"/>
                  <w:noWrap/>
                  <w:vAlign w:val="center"/>
                </w:tcPr>
                <w:p w14:paraId="3A9C74E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3.508</w:t>
                  </w:r>
                </w:p>
              </w:tc>
              <w:tc>
                <w:tcPr>
                  <w:tcW w:w="352" w:type="pct"/>
                  <w:shd w:val="clear" w:color="auto" w:fill="auto"/>
                  <w:noWrap/>
                  <w:vAlign w:val="center"/>
                </w:tcPr>
                <w:p w14:paraId="1F3C850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83.409</w:t>
                  </w:r>
                </w:p>
              </w:tc>
            </w:tr>
            <w:tr w14:paraId="6E0D9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9BD58E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2025-02-22 00:00:00</w:t>
                  </w:r>
                </w:p>
              </w:tc>
              <w:tc>
                <w:tcPr>
                  <w:tcW w:w="352" w:type="pct"/>
                  <w:shd w:val="clear" w:color="auto" w:fill="auto"/>
                  <w:noWrap/>
                  <w:vAlign w:val="center"/>
                </w:tcPr>
                <w:p w14:paraId="2009642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29.831</w:t>
                  </w:r>
                </w:p>
              </w:tc>
              <w:tc>
                <w:tcPr>
                  <w:tcW w:w="352" w:type="pct"/>
                  <w:shd w:val="clear" w:color="auto" w:fill="auto"/>
                  <w:noWrap/>
                  <w:vAlign w:val="center"/>
                </w:tcPr>
                <w:p w14:paraId="2354D14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0.935</w:t>
                  </w:r>
                </w:p>
              </w:tc>
              <w:tc>
                <w:tcPr>
                  <w:tcW w:w="352" w:type="pct"/>
                  <w:shd w:val="clear" w:color="auto" w:fill="auto"/>
                  <w:noWrap/>
                  <w:vAlign w:val="center"/>
                </w:tcPr>
                <w:p w14:paraId="07EDCD8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2.377</w:t>
                  </w:r>
                </w:p>
              </w:tc>
              <w:tc>
                <w:tcPr>
                  <w:tcW w:w="352" w:type="pct"/>
                  <w:shd w:val="clear" w:color="auto" w:fill="auto"/>
                  <w:noWrap/>
                  <w:vAlign w:val="center"/>
                </w:tcPr>
                <w:p w14:paraId="48F2EFD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3.587</w:t>
                  </w:r>
                </w:p>
              </w:tc>
              <w:tc>
                <w:tcPr>
                  <w:tcW w:w="352" w:type="pct"/>
                  <w:shd w:val="clear" w:color="auto" w:fill="auto"/>
                  <w:noWrap/>
                  <w:vAlign w:val="center"/>
                </w:tcPr>
                <w:p w14:paraId="2AE6DFB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7.246</w:t>
                  </w:r>
                </w:p>
              </w:tc>
              <w:tc>
                <w:tcPr>
                  <w:tcW w:w="352" w:type="pct"/>
                  <w:shd w:val="clear" w:color="auto" w:fill="auto"/>
                  <w:noWrap/>
                  <w:vAlign w:val="center"/>
                </w:tcPr>
                <w:p w14:paraId="76226C6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10.833</w:t>
                  </w:r>
                </w:p>
              </w:tc>
              <w:tc>
                <w:tcPr>
                  <w:tcW w:w="352" w:type="pct"/>
                  <w:shd w:val="clear" w:color="auto" w:fill="auto"/>
                  <w:noWrap/>
                  <w:vAlign w:val="center"/>
                </w:tcPr>
                <w:p w14:paraId="21A60A0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32.693</w:t>
                  </w:r>
                </w:p>
              </w:tc>
              <w:tc>
                <w:tcPr>
                  <w:tcW w:w="352" w:type="pct"/>
                  <w:shd w:val="clear" w:color="auto" w:fill="auto"/>
                  <w:noWrap/>
                  <w:vAlign w:val="center"/>
                </w:tcPr>
                <w:p w14:paraId="79DBA18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22.878</w:t>
                  </w:r>
                </w:p>
              </w:tc>
              <w:tc>
                <w:tcPr>
                  <w:tcW w:w="352" w:type="pct"/>
                  <w:shd w:val="clear" w:color="auto" w:fill="auto"/>
                  <w:noWrap/>
                  <w:vAlign w:val="center"/>
                </w:tcPr>
                <w:p w14:paraId="79D1BDD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7.08</w:t>
                  </w:r>
                </w:p>
              </w:tc>
              <w:tc>
                <w:tcPr>
                  <w:tcW w:w="352" w:type="pct"/>
                  <w:shd w:val="clear" w:color="auto" w:fill="auto"/>
                  <w:noWrap/>
                  <w:vAlign w:val="center"/>
                </w:tcPr>
                <w:p w14:paraId="7E6BF73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102.577</w:t>
                  </w:r>
                </w:p>
              </w:tc>
              <w:tc>
                <w:tcPr>
                  <w:tcW w:w="352" w:type="pct"/>
                  <w:shd w:val="clear" w:color="auto" w:fill="auto"/>
                  <w:noWrap/>
                  <w:vAlign w:val="center"/>
                </w:tcPr>
                <w:p w14:paraId="0EF8797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98.776</w:t>
                  </w:r>
                </w:p>
              </w:tc>
              <w:tc>
                <w:tcPr>
                  <w:tcW w:w="352" w:type="pct"/>
                  <w:shd w:val="clear" w:color="auto" w:fill="auto"/>
                  <w:noWrap/>
                  <w:vAlign w:val="center"/>
                </w:tcPr>
                <w:p w14:paraId="6D58746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3.169</w:t>
                  </w:r>
                </w:p>
              </w:tc>
              <w:tc>
                <w:tcPr>
                  <w:tcW w:w="352" w:type="pct"/>
                  <w:shd w:val="clear" w:color="auto" w:fill="auto"/>
                  <w:noWrap/>
                  <w:vAlign w:val="center"/>
                </w:tcPr>
                <w:p w14:paraId="7576EA7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88.423</w:t>
                  </w:r>
                </w:p>
              </w:tc>
            </w:tr>
            <w:tr w14:paraId="4E3E9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1A5AFED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2025-02-21 00:00:00</w:t>
                  </w:r>
                </w:p>
              </w:tc>
              <w:tc>
                <w:tcPr>
                  <w:tcW w:w="352" w:type="pct"/>
                  <w:shd w:val="clear" w:color="auto" w:fill="auto"/>
                  <w:noWrap/>
                  <w:vAlign w:val="center"/>
                </w:tcPr>
                <w:p w14:paraId="2FEE247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25.147</w:t>
                  </w:r>
                </w:p>
              </w:tc>
              <w:tc>
                <w:tcPr>
                  <w:tcW w:w="352" w:type="pct"/>
                  <w:shd w:val="clear" w:color="auto" w:fill="auto"/>
                  <w:noWrap/>
                  <w:vAlign w:val="center"/>
                </w:tcPr>
                <w:p w14:paraId="5DF8C35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1.197</w:t>
                  </w:r>
                </w:p>
              </w:tc>
              <w:tc>
                <w:tcPr>
                  <w:tcW w:w="352" w:type="pct"/>
                  <w:shd w:val="clear" w:color="auto" w:fill="auto"/>
                  <w:noWrap/>
                  <w:vAlign w:val="center"/>
                </w:tcPr>
                <w:p w14:paraId="2B6AB49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2.811</w:t>
                  </w:r>
                </w:p>
              </w:tc>
              <w:tc>
                <w:tcPr>
                  <w:tcW w:w="352" w:type="pct"/>
                  <w:shd w:val="clear" w:color="auto" w:fill="auto"/>
                  <w:noWrap/>
                  <w:vAlign w:val="center"/>
                </w:tcPr>
                <w:p w14:paraId="379F432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3.946</w:t>
                  </w:r>
                </w:p>
              </w:tc>
              <w:tc>
                <w:tcPr>
                  <w:tcW w:w="352" w:type="pct"/>
                  <w:shd w:val="clear" w:color="auto" w:fill="auto"/>
                  <w:noWrap/>
                  <w:vAlign w:val="center"/>
                </w:tcPr>
                <w:p w14:paraId="73E0D6E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11.408</w:t>
                  </w:r>
                </w:p>
              </w:tc>
              <w:tc>
                <w:tcPr>
                  <w:tcW w:w="352" w:type="pct"/>
                  <w:shd w:val="clear" w:color="auto" w:fill="auto"/>
                  <w:noWrap/>
                  <w:vAlign w:val="center"/>
                </w:tcPr>
                <w:p w14:paraId="13A1800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15.353</w:t>
                  </w:r>
                </w:p>
              </w:tc>
              <w:tc>
                <w:tcPr>
                  <w:tcW w:w="352" w:type="pct"/>
                  <w:shd w:val="clear" w:color="auto" w:fill="auto"/>
                  <w:noWrap/>
                  <w:vAlign w:val="center"/>
                </w:tcPr>
                <w:p w14:paraId="35B8C52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105.299</w:t>
                  </w:r>
                </w:p>
              </w:tc>
              <w:tc>
                <w:tcPr>
                  <w:tcW w:w="352" w:type="pct"/>
                  <w:shd w:val="clear" w:color="auto" w:fill="auto"/>
                  <w:noWrap/>
                  <w:vAlign w:val="center"/>
                </w:tcPr>
                <w:p w14:paraId="0C6FA59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95.203</w:t>
                  </w:r>
                </w:p>
              </w:tc>
              <w:tc>
                <w:tcPr>
                  <w:tcW w:w="352" w:type="pct"/>
                  <w:shd w:val="clear" w:color="auto" w:fill="auto"/>
                  <w:noWrap/>
                  <w:vAlign w:val="center"/>
                </w:tcPr>
                <w:p w14:paraId="3230251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7.52</w:t>
                  </w:r>
                </w:p>
              </w:tc>
              <w:tc>
                <w:tcPr>
                  <w:tcW w:w="352" w:type="pct"/>
                  <w:shd w:val="clear" w:color="auto" w:fill="auto"/>
                  <w:noWrap/>
                  <w:vAlign w:val="center"/>
                </w:tcPr>
                <w:p w14:paraId="7C0C972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102.532</w:t>
                  </w:r>
                </w:p>
              </w:tc>
              <w:tc>
                <w:tcPr>
                  <w:tcW w:w="352" w:type="pct"/>
                  <w:shd w:val="clear" w:color="auto" w:fill="auto"/>
                  <w:noWrap/>
                  <w:vAlign w:val="center"/>
                </w:tcPr>
                <w:p w14:paraId="0A0FE0A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96.082</w:t>
                  </w:r>
                </w:p>
              </w:tc>
              <w:tc>
                <w:tcPr>
                  <w:tcW w:w="352" w:type="pct"/>
                  <w:shd w:val="clear" w:color="auto" w:fill="auto"/>
                  <w:noWrap/>
                  <w:vAlign w:val="center"/>
                </w:tcPr>
                <w:p w14:paraId="1E29472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2.94</w:t>
                  </w:r>
                </w:p>
              </w:tc>
              <w:tc>
                <w:tcPr>
                  <w:tcW w:w="352" w:type="pct"/>
                  <w:shd w:val="clear" w:color="auto" w:fill="auto"/>
                  <w:noWrap/>
                  <w:vAlign w:val="center"/>
                </w:tcPr>
                <w:p w14:paraId="309B3B4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96.66</w:t>
                  </w:r>
                </w:p>
              </w:tc>
            </w:tr>
            <w:tr w14:paraId="61A6C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2796B5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2025-02-20 00:00:00</w:t>
                  </w:r>
                </w:p>
              </w:tc>
              <w:tc>
                <w:tcPr>
                  <w:tcW w:w="352" w:type="pct"/>
                  <w:shd w:val="clear" w:color="auto" w:fill="auto"/>
                  <w:noWrap/>
                  <w:vAlign w:val="center"/>
                </w:tcPr>
                <w:p w14:paraId="17177AD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26.525</w:t>
                  </w:r>
                </w:p>
              </w:tc>
              <w:tc>
                <w:tcPr>
                  <w:tcW w:w="352" w:type="pct"/>
                  <w:shd w:val="clear" w:color="auto" w:fill="auto"/>
                  <w:noWrap/>
                  <w:vAlign w:val="center"/>
                </w:tcPr>
                <w:p w14:paraId="7ACF5CB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w:t>
                  </w:r>
                </w:p>
              </w:tc>
              <w:tc>
                <w:tcPr>
                  <w:tcW w:w="352" w:type="pct"/>
                  <w:shd w:val="clear" w:color="auto" w:fill="auto"/>
                  <w:noWrap/>
                  <w:vAlign w:val="center"/>
                </w:tcPr>
                <w:p w14:paraId="0024F2E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2.303</w:t>
                  </w:r>
                </w:p>
              </w:tc>
              <w:tc>
                <w:tcPr>
                  <w:tcW w:w="352" w:type="pct"/>
                  <w:shd w:val="clear" w:color="auto" w:fill="auto"/>
                  <w:noWrap/>
                  <w:vAlign w:val="center"/>
                </w:tcPr>
                <w:p w14:paraId="2487960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3.671</w:t>
                  </w:r>
                </w:p>
              </w:tc>
              <w:tc>
                <w:tcPr>
                  <w:tcW w:w="352" w:type="pct"/>
                  <w:shd w:val="clear" w:color="auto" w:fill="auto"/>
                  <w:noWrap/>
                  <w:vAlign w:val="center"/>
                </w:tcPr>
                <w:p w14:paraId="009486E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8.943</w:t>
                  </w:r>
                </w:p>
              </w:tc>
              <w:tc>
                <w:tcPr>
                  <w:tcW w:w="352" w:type="pct"/>
                  <w:shd w:val="clear" w:color="auto" w:fill="auto"/>
                  <w:noWrap/>
                  <w:vAlign w:val="center"/>
                </w:tcPr>
                <w:p w14:paraId="5D074E4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12.614</w:t>
                  </w:r>
                </w:p>
              </w:tc>
              <w:tc>
                <w:tcPr>
                  <w:tcW w:w="352" w:type="pct"/>
                  <w:shd w:val="clear" w:color="auto" w:fill="auto"/>
                  <w:noWrap/>
                  <w:vAlign w:val="center"/>
                </w:tcPr>
                <w:p w14:paraId="7C52491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37.026</w:t>
                  </w:r>
                </w:p>
              </w:tc>
              <w:tc>
                <w:tcPr>
                  <w:tcW w:w="352" w:type="pct"/>
                  <w:shd w:val="clear" w:color="auto" w:fill="auto"/>
                  <w:noWrap/>
                  <w:vAlign w:val="center"/>
                </w:tcPr>
                <w:p w14:paraId="7BCADA1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27.228</w:t>
                  </w:r>
                </w:p>
              </w:tc>
              <w:tc>
                <w:tcPr>
                  <w:tcW w:w="352" w:type="pct"/>
                  <w:shd w:val="clear" w:color="auto" w:fill="auto"/>
                  <w:noWrap/>
                  <w:vAlign w:val="center"/>
                </w:tcPr>
                <w:p w14:paraId="301E4D9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8.225</w:t>
                  </w:r>
                </w:p>
              </w:tc>
              <w:tc>
                <w:tcPr>
                  <w:tcW w:w="352" w:type="pct"/>
                  <w:shd w:val="clear" w:color="auto" w:fill="auto"/>
                  <w:noWrap/>
                  <w:vAlign w:val="center"/>
                </w:tcPr>
                <w:p w14:paraId="1593AFF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102.217</w:t>
                  </w:r>
                </w:p>
              </w:tc>
              <w:tc>
                <w:tcPr>
                  <w:tcW w:w="352" w:type="pct"/>
                  <w:shd w:val="clear" w:color="auto" w:fill="auto"/>
                  <w:noWrap/>
                  <w:vAlign w:val="center"/>
                </w:tcPr>
                <w:p w14:paraId="5DD15D5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98.661</w:t>
                  </w:r>
                </w:p>
              </w:tc>
              <w:tc>
                <w:tcPr>
                  <w:tcW w:w="352" w:type="pct"/>
                  <w:shd w:val="clear" w:color="auto" w:fill="auto"/>
                  <w:noWrap/>
                  <w:vAlign w:val="center"/>
                </w:tcPr>
                <w:p w14:paraId="43F75DB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2.557</w:t>
                  </w:r>
                </w:p>
              </w:tc>
              <w:tc>
                <w:tcPr>
                  <w:tcW w:w="352" w:type="pct"/>
                  <w:shd w:val="clear" w:color="auto" w:fill="auto"/>
                  <w:noWrap/>
                  <w:vAlign w:val="center"/>
                </w:tcPr>
                <w:p w14:paraId="03D3711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80.791</w:t>
                  </w:r>
                </w:p>
              </w:tc>
            </w:tr>
            <w:tr w14:paraId="0AB7E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5FAE99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2025-02-19 00:00:00</w:t>
                  </w:r>
                </w:p>
              </w:tc>
              <w:tc>
                <w:tcPr>
                  <w:tcW w:w="352" w:type="pct"/>
                  <w:shd w:val="clear" w:color="auto" w:fill="auto"/>
                  <w:noWrap/>
                  <w:vAlign w:val="center"/>
                </w:tcPr>
                <w:p w14:paraId="15DF70D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28.492</w:t>
                  </w:r>
                </w:p>
              </w:tc>
              <w:tc>
                <w:tcPr>
                  <w:tcW w:w="352" w:type="pct"/>
                  <w:shd w:val="clear" w:color="auto" w:fill="auto"/>
                  <w:noWrap/>
                  <w:vAlign w:val="center"/>
                </w:tcPr>
                <w:p w14:paraId="37F7AF2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1.09</w:t>
                  </w:r>
                </w:p>
              </w:tc>
              <w:tc>
                <w:tcPr>
                  <w:tcW w:w="352" w:type="pct"/>
                  <w:shd w:val="clear" w:color="auto" w:fill="auto"/>
                  <w:noWrap/>
                  <w:vAlign w:val="center"/>
                </w:tcPr>
                <w:p w14:paraId="34086CD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2.545</w:t>
                  </w:r>
                </w:p>
              </w:tc>
              <w:tc>
                <w:tcPr>
                  <w:tcW w:w="352" w:type="pct"/>
                  <w:shd w:val="clear" w:color="auto" w:fill="auto"/>
                  <w:noWrap/>
                  <w:vAlign w:val="center"/>
                </w:tcPr>
                <w:p w14:paraId="4243B0D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3.799</w:t>
                  </w:r>
                </w:p>
              </w:tc>
              <w:tc>
                <w:tcPr>
                  <w:tcW w:w="352" w:type="pct"/>
                  <w:shd w:val="clear" w:color="auto" w:fill="auto"/>
                  <w:noWrap/>
                  <w:vAlign w:val="center"/>
                </w:tcPr>
                <w:p w14:paraId="39E33DC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9.233</w:t>
                  </w:r>
                </w:p>
              </w:tc>
              <w:tc>
                <w:tcPr>
                  <w:tcW w:w="352" w:type="pct"/>
                  <w:shd w:val="clear" w:color="auto" w:fill="auto"/>
                  <w:noWrap/>
                  <w:vAlign w:val="center"/>
                </w:tcPr>
                <w:p w14:paraId="5DC6052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13.032</w:t>
                  </w:r>
                </w:p>
              </w:tc>
              <w:tc>
                <w:tcPr>
                  <w:tcW w:w="352" w:type="pct"/>
                  <w:shd w:val="clear" w:color="auto" w:fill="auto"/>
                  <w:noWrap/>
                  <w:vAlign w:val="center"/>
                </w:tcPr>
                <w:p w14:paraId="10C0D82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36.729</w:t>
                  </w:r>
                </w:p>
              </w:tc>
              <w:tc>
                <w:tcPr>
                  <w:tcW w:w="352" w:type="pct"/>
                  <w:shd w:val="clear" w:color="auto" w:fill="auto"/>
                  <w:noWrap/>
                  <w:vAlign w:val="center"/>
                </w:tcPr>
                <w:p w14:paraId="5130227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26.366</w:t>
                  </w:r>
                </w:p>
              </w:tc>
              <w:tc>
                <w:tcPr>
                  <w:tcW w:w="352" w:type="pct"/>
                  <w:shd w:val="clear" w:color="auto" w:fill="auto"/>
                  <w:noWrap/>
                  <w:vAlign w:val="center"/>
                </w:tcPr>
                <w:p w14:paraId="3EA7C73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8.43</w:t>
                  </w:r>
                </w:p>
              </w:tc>
              <w:tc>
                <w:tcPr>
                  <w:tcW w:w="352" w:type="pct"/>
                  <w:shd w:val="clear" w:color="auto" w:fill="auto"/>
                  <w:noWrap/>
                  <w:vAlign w:val="center"/>
                </w:tcPr>
                <w:p w14:paraId="459340F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102.07</w:t>
                  </w:r>
                </w:p>
              </w:tc>
              <w:tc>
                <w:tcPr>
                  <w:tcW w:w="352" w:type="pct"/>
                  <w:shd w:val="clear" w:color="auto" w:fill="auto"/>
                  <w:noWrap/>
                  <w:vAlign w:val="center"/>
                </w:tcPr>
                <w:p w14:paraId="3D30C48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98.237</w:t>
                  </w:r>
                </w:p>
              </w:tc>
              <w:tc>
                <w:tcPr>
                  <w:tcW w:w="352" w:type="pct"/>
                  <w:shd w:val="clear" w:color="auto" w:fill="auto"/>
                  <w:noWrap/>
                  <w:vAlign w:val="center"/>
                </w:tcPr>
                <w:p w14:paraId="12EF9B9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1.901</w:t>
                  </w:r>
                </w:p>
              </w:tc>
              <w:tc>
                <w:tcPr>
                  <w:tcW w:w="352" w:type="pct"/>
                  <w:shd w:val="clear" w:color="auto" w:fill="auto"/>
                  <w:noWrap/>
                  <w:vAlign w:val="center"/>
                </w:tcPr>
                <w:p w14:paraId="0D3022E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81.503</w:t>
                  </w:r>
                </w:p>
              </w:tc>
            </w:tr>
            <w:tr w14:paraId="5D009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4B94930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2025-02-18 00:00:00</w:t>
                  </w:r>
                </w:p>
              </w:tc>
              <w:tc>
                <w:tcPr>
                  <w:tcW w:w="352" w:type="pct"/>
                  <w:shd w:val="clear" w:color="auto" w:fill="auto"/>
                  <w:noWrap/>
                  <w:vAlign w:val="center"/>
                </w:tcPr>
                <w:p w14:paraId="1DD8D8B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29.527</w:t>
                  </w:r>
                </w:p>
              </w:tc>
              <w:tc>
                <w:tcPr>
                  <w:tcW w:w="352" w:type="pct"/>
                  <w:shd w:val="clear" w:color="auto" w:fill="auto"/>
                  <w:noWrap/>
                  <w:vAlign w:val="center"/>
                </w:tcPr>
                <w:p w14:paraId="22FEE3A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0.884</w:t>
                  </w:r>
                </w:p>
              </w:tc>
              <w:tc>
                <w:tcPr>
                  <w:tcW w:w="352" w:type="pct"/>
                  <w:shd w:val="clear" w:color="auto" w:fill="auto"/>
                  <w:noWrap/>
                  <w:vAlign w:val="center"/>
                </w:tcPr>
                <w:p w14:paraId="276FA10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2.27</w:t>
                  </w:r>
                </w:p>
              </w:tc>
              <w:tc>
                <w:tcPr>
                  <w:tcW w:w="352" w:type="pct"/>
                  <w:shd w:val="clear" w:color="auto" w:fill="auto"/>
                  <w:noWrap/>
                  <w:vAlign w:val="center"/>
                </w:tcPr>
                <w:p w14:paraId="008282D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3.73</w:t>
                  </w:r>
                </w:p>
              </w:tc>
              <w:tc>
                <w:tcPr>
                  <w:tcW w:w="352" w:type="pct"/>
                  <w:shd w:val="clear" w:color="auto" w:fill="auto"/>
                  <w:noWrap/>
                  <w:vAlign w:val="center"/>
                </w:tcPr>
                <w:p w14:paraId="29E1082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7.111</w:t>
                  </w:r>
                </w:p>
              </w:tc>
              <w:tc>
                <w:tcPr>
                  <w:tcW w:w="352" w:type="pct"/>
                  <w:shd w:val="clear" w:color="auto" w:fill="auto"/>
                  <w:noWrap/>
                  <w:vAlign w:val="center"/>
                </w:tcPr>
                <w:p w14:paraId="3903A36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10.841</w:t>
                  </w:r>
                </w:p>
              </w:tc>
              <w:tc>
                <w:tcPr>
                  <w:tcW w:w="352" w:type="pct"/>
                  <w:shd w:val="clear" w:color="auto" w:fill="auto"/>
                  <w:noWrap/>
                  <w:vAlign w:val="center"/>
                </w:tcPr>
                <w:p w14:paraId="5BA091D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50.428</w:t>
                  </w:r>
                </w:p>
              </w:tc>
              <w:tc>
                <w:tcPr>
                  <w:tcW w:w="352" w:type="pct"/>
                  <w:shd w:val="clear" w:color="auto" w:fill="auto"/>
                  <w:noWrap/>
                  <w:vAlign w:val="center"/>
                </w:tcPr>
                <w:p w14:paraId="3A07474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34.919</w:t>
                  </w:r>
                </w:p>
              </w:tc>
              <w:tc>
                <w:tcPr>
                  <w:tcW w:w="352" w:type="pct"/>
                  <w:shd w:val="clear" w:color="auto" w:fill="auto"/>
                  <w:noWrap/>
                  <w:vAlign w:val="center"/>
                </w:tcPr>
                <w:p w14:paraId="44468A1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8.161</w:t>
                  </w:r>
                </w:p>
              </w:tc>
              <w:tc>
                <w:tcPr>
                  <w:tcW w:w="352" w:type="pct"/>
                  <w:shd w:val="clear" w:color="auto" w:fill="auto"/>
                  <w:noWrap/>
                  <w:vAlign w:val="center"/>
                </w:tcPr>
                <w:p w14:paraId="612D8F7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102.282</w:t>
                  </w:r>
                </w:p>
              </w:tc>
              <w:tc>
                <w:tcPr>
                  <w:tcW w:w="352" w:type="pct"/>
                  <w:shd w:val="clear" w:color="auto" w:fill="auto"/>
                  <w:noWrap/>
                  <w:vAlign w:val="center"/>
                </w:tcPr>
                <w:p w14:paraId="2BE6B28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92.63</w:t>
                  </w:r>
                </w:p>
              </w:tc>
              <w:tc>
                <w:tcPr>
                  <w:tcW w:w="352" w:type="pct"/>
                  <w:shd w:val="clear" w:color="auto" w:fill="auto"/>
                  <w:noWrap/>
                  <w:vAlign w:val="center"/>
                </w:tcPr>
                <w:p w14:paraId="4C5B07F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2.006</w:t>
                  </w:r>
                </w:p>
              </w:tc>
              <w:tc>
                <w:tcPr>
                  <w:tcW w:w="352" w:type="pct"/>
                  <w:shd w:val="clear" w:color="auto" w:fill="auto"/>
                  <w:noWrap/>
                  <w:vAlign w:val="center"/>
                </w:tcPr>
                <w:p w14:paraId="5B4E117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89.377</w:t>
                  </w:r>
                </w:p>
              </w:tc>
            </w:tr>
            <w:tr w14:paraId="6AE7D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7AB5C70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2025-02-17 00:00:00</w:t>
                  </w:r>
                </w:p>
              </w:tc>
              <w:tc>
                <w:tcPr>
                  <w:tcW w:w="352" w:type="pct"/>
                  <w:shd w:val="clear" w:color="auto" w:fill="auto"/>
                  <w:noWrap/>
                  <w:vAlign w:val="center"/>
                </w:tcPr>
                <w:p w14:paraId="2AA27F7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33.882</w:t>
                  </w:r>
                </w:p>
              </w:tc>
              <w:tc>
                <w:tcPr>
                  <w:tcW w:w="352" w:type="pct"/>
                  <w:shd w:val="clear" w:color="auto" w:fill="auto"/>
                  <w:noWrap/>
                  <w:vAlign w:val="center"/>
                </w:tcPr>
                <w:p w14:paraId="3701ADC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1.187</w:t>
                  </w:r>
                </w:p>
              </w:tc>
              <w:tc>
                <w:tcPr>
                  <w:tcW w:w="352" w:type="pct"/>
                  <w:shd w:val="clear" w:color="auto" w:fill="auto"/>
                  <w:noWrap/>
                  <w:vAlign w:val="center"/>
                </w:tcPr>
                <w:p w14:paraId="5673D30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2.893</w:t>
                  </w:r>
                </w:p>
              </w:tc>
              <w:tc>
                <w:tcPr>
                  <w:tcW w:w="352" w:type="pct"/>
                  <w:shd w:val="clear" w:color="auto" w:fill="auto"/>
                  <w:noWrap/>
                  <w:vAlign w:val="center"/>
                </w:tcPr>
                <w:p w14:paraId="34738E6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4.145</w:t>
                  </w:r>
                </w:p>
              </w:tc>
              <w:tc>
                <w:tcPr>
                  <w:tcW w:w="352" w:type="pct"/>
                  <w:shd w:val="clear" w:color="auto" w:fill="auto"/>
                  <w:noWrap/>
                  <w:vAlign w:val="center"/>
                </w:tcPr>
                <w:p w14:paraId="502BF87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10.836</w:t>
                  </w:r>
                </w:p>
              </w:tc>
              <w:tc>
                <w:tcPr>
                  <w:tcW w:w="352" w:type="pct"/>
                  <w:shd w:val="clear" w:color="auto" w:fill="auto"/>
                  <w:noWrap/>
                  <w:vAlign w:val="center"/>
                </w:tcPr>
                <w:p w14:paraId="41E7B34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14.982</w:t>
                  </w:r>
                </w:p>
              </w:tc>
              <w:tc>
                <w:tcPr>
                  <w:tcW w:w="352" w:type="pct"/>
                  <w:shd w:val="clear" w:color="auto" w:fill="auto"/>
                  <w:noWrap/>
                  <w:vAlign w:val="center"/>
                </w:tcPr>
                <w:p w14:paraId="70D5F15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55.387</w:t>
                  </w:r>
                </w:p>
              </w:tc>
              <w:tc>
                <w:tcPr>
                  <w:tcW w:w="352" w:type="pct"/>
                  <w:shd w:val="clear" w:color="auto" w:fill="auto"/>
                  <w:noWrap/>
                  <w:vAlign w:val="center"/>
                </w:tcPr>
                <w:p w14:paraId="5A98F0D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43.099</w:t>
                  </w:r>
                </w:p>
              </w:tc>
              <w:tc>
                <w:tcPr>
                  <w:tcW w:w="352" w:type="pct"/>
                  <w:shd w:val="clear" w:color="auto" w:fill="auto"/>
                  <w:noWrap/>
                  <w:vAlign w:val="center"/>
                </w:tcPr>
                <w:p w14:paraId="385D797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8.337</w:t>
                  </w:r>
                </w:p>
              </w:tc>
              <w:tc>
                <w:tcPr>
                  <w:tcW w:w="352" w:type="pct"/>
                  <w:shd w:val="clear" w:color="auto" w:fill="auto"/>
                  <w:noWrap/>
                  <w:vAlign w:val="center"/>
                </w:tcPr>
                <w:p w14:paraId="750AD8D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102.144</w:t>
                  </w:r>
                </w:p>
              </w:tc>
              <w:tc>
                <w:tcPr>
                  <w:tcW w:w="352" w:type="pct"/>
                  <w:shd w:val="clear" w:color="auto" w:fill="auto"/>
                  <w:noWrap/>
                  <w:vAlign w:val="center"/>
                </w:tcPr>
                <w:p w14:paraId="3C2DE34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96.758</w:t>
                  </w:r>
                </w:p>
              </w:tc>
              <w:tc>
                <w:tcPr>
                  <w:tcW w:w="352" w:type="pct"/>
                  <w:shd w:val="clear" w:color="auto" w:fill="auto"/>
                  <w:noWrap/>
                  <w:vAlign w:val="center"/>
                </w:tcPr>
                <w:p w14:paraId="4774408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2.629</w:t>
                  </w:r>
                </w:p>
              </w:tc>
              <w:tc>
                <w:tcPr>
                  <w:tcW w:w="352" w:type="pct"/>
                  <w:shd w:val="clear" w:color="auto" w:fill="auto"/>
                  <w:noWrap/>
                  <w:vAlign w:val="center"/>
                </w:tcPr>
                <w:p w14:paraId="51DB736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75.956</w:t>
                  </w:r>
                </w:p>
              </w:tc>
            </w:tr>
            <w:tr w14:paraId="37A5D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B796B5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2025-02-16 00:00:00</w:t>
                  </w:r>
                </w:p>
              </w:tc>
              <w:tc>
                <w:tcPr>
                  <w:tcW w:w="352" w:type="pct"/>
                  <w:shd w:val="clear" w:color="auto" w:fill="auto"/>
                  <w:noWrap/>
                  <w:vAlign w:val="center"/>
                </w:tcPr>
                <w:p w14:paraId="5C16C1E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21.138</w:t>
                  </w:r>
                </w:p>
              </w:tc>
              <w:tc>
                <w:tcPr>
                  <w:tcW w:w="352" w:type="pct"/>
                  <w:shd w:val="clear" w:color="auto" w:fill="auto"/>
                  <w:noWrap/>
                  <w:vAlign w:val="center"/>
                </w:tcPr>
                <w:p w14:paraId="70191BE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1.124</w:t>
                  </w:r>
                </w:p>
              </w:tc>
              <w:tc>
                <w:tcPr>
                  <w:tcW w:w="352" w:type="pct"/>
                  <w:shd w:val="clear" w:color="auto" w:fill="auto"/>
                  <w:noWrap/>
                  <w:vAlign w:val="center"/>
                </w:tcPr>
                <w:p w14:paraId="0E5018C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6.036</w:t>
                  </w:r>
                </w:p>
              </w:tc>
              <w:tc>
                <w:tcPr>
                  <w:tcW w:w="352" w:type="pct"/>
                  <w:shd w:val="clear" w:color="auto" w:fill="auto"/>
                  <w:noWrap/>
                  <w:vAlign w:val="center"/>
                </w:tcPr>
                <w:p w14:paraId="31D261A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8.713</w:t>
                  </w:r>
                </w:p>
              </w:tc>
              <w:tc>
                <w:tcPr>
                  <w:tcW w:w="352" w:type="pct"/>
                  <w:shd w:val="clear" w:color="auto" w:fill="auto"/>
                  <w:noWrap/>
                  <w:vAlign w:val="center"/>
                </w:tcPr>
                <w:p w14:paraId="6EF83C3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12.808</w:t>
                  </w:r>
                </w:p>
              </w:tc>
              <w:tc>
                <w:tcPr>
                  <w:tcW w:w="352" w:type="pct"/>
                  <w:shd w:val="clear" w:color="auto" w:fill="auto"/>
                  <w:noWrap/>
                  <w:vAlign w:val="center"/>
                </w:tcPr>
                <w:p w14:paraId="442A3AC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21.521</w:t>
                  </w:r>
                </w:p>
              </w:tc>
              <w:tc>
                <w:tcPr>
                  <w:tcW w:w="352" w:type="pct"/>
                  <w:shd w:val="clear" w:color="auto" w:fill="auto"/>
                  <w:noWrap/>
                  <w:vAlign w:val="center"/>
                </w:tcPr>
                <w:p w14:paraId="231DE4C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48.319</w:t>
                  </w:r>
                </w:p>
              </w:tc>
              <w:tc>
                <w:tcPr>
                  <w:tcW w:w="352" w:type="pct"/>
                  <w:shd w:val="clear" w:color="auto" w:fill="auto"/>
                  <w:noWrap/>
                  <w:vAlign w:val="center"/>
                </w:tcPr>
                <w:p w14:paraId="4CDF2D4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40.111</w:t>
                  </w:r>
                </w:p>
              </w:tc>
              <w:tc>
                <w:tcPr>
                  <w:tcW w:w="352" w:type="pct"/>
                  <w:shd w:val="clear" w:color="auto" w:fill="auto"/>
                  <w:noWrap/>
                  <w:vAlign w:val="center"/>
                </w:tcPr>
                <w:p w14:paraId="28D95F2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8.485</w:t>
                  </w:r>
                </w:p>
              </w:tc>
              <w:tc>
                <w:tcPr>
                  <w:tcW w:w="352" w:type="pct"/>
                  <w:shd w:val="clear" w:color="auto" w:fill="auto"/>
                  <w:noWrap/>
                  <w:vAlign w:val="center"/>
                </w:tcPr>
                <w:p w14:paraId="36242AE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101.977</w:t>
                  </w:r>
                </w:p>
              </w:tc>
              <w:tc>
                <w:tcPr>
                  <w:tcW w:w="352" w:type="pct"/>
                  <w:shd w:val="clear" w:color="auto" w:fill="auto"/>
                  <w:noWrap/>
                  <w:vAlign w:val="center"/>
                </w:tcPr>
                <w:p w14:paraId="248E50D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94.902</w:t>
                  </w:r>
                </w:p>
              </w:tc>
              <w:tc>
                <w:tcPr>
                  <w:tcW w:w="352" w:type="pct"/>
                  <w:shd w:val="clear" w:color="auto" w:fill="auto"/>
                  <w:noWrap/>
                  <w:vAlign w:val="center"/>
                </w:tcPr>
                <w:p w14:paraId="02C0CE3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1.909</w:t>
                  </w:r>
                </w:p>
              </w:tc>
              <w:tc>
                <w:tcPr>
                  <w:tcW w:w="352" w:type="pct"/>
                  <w:shd w:val="clear" w:color="auto" w:fill="auto"/>
                  <w:noWrap/>
                  <w:vAlign w:val="center"/>
                </w:tcPr>
                <w:p w14:paraId="39B3894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106.972</w:t>
                  </w:r>
                </w:p>
              </w:tc>
            </w:tr>
            <w:tr w14:paraId="76BD9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F3D4E7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2025-02-15 00:00:00</w:t>
                  </w:r>
                </w:p>
              </w:tc>
              <w:tc>
                <w:tcPr>
                  <w:tcW w:w="352" w:type="pct"/>
                  <w:shd w:val="clear" w:color="auto" w:fill="auto"/>
                  <w:noWrap/>
                  <w:vAlign w:val="center"/>
                </w:tcPr>
                <w:p w14:paraId="1DF8F8E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24.218</w:t>
                  </w:r>
                </w:p>
              </w:tc>
              <w:tc>
                <w:tcPr>
                  <w:tcW w:w="352" w:type="pct"/>
                  <w:shd w:val="clear" w:color="auto" w:fill="auto"/>
                  <w:noWrap/>
                  <w:vAlign w:val="center"/>
                </w:tcPr>
                <w:p w14:paraId="7370F07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1.077</w:t>
                  </w:r>
                </w:p>
              </w:tc>
              <w:tc>
                <w:tcPr>
                  <w:tcW w:w="352" w:type="pct"/>
                  <w:shd w:val="clear" w:color="auto" w:fill="auto"/>
                  <w:noWrap/>
                  <w:vAlign w:val="center"/>
                </w:tcPr>
                <w:p w14:paraId="4EC5AA1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3.498</w:t>
                  </w:r>
                </w:p>
              </w:tc>
              <w:tc>
                <w:tcPr>
                  <w:tcW w:w="352" w:type="pct"/>
                  <w:shd w:val="clear" w:color="auto" w:fill="auto"/>
                  <w:noWrap/>
                  <w:vAlign w:val="center"/>
                </w:tcPr>
                <w:p w14:paraId="101B42A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3.793</w:t>
                  </w:r>
                </w:p>
              </w:tc>
              <w:tc>
                <w:tcPr>
                  <w:tcW w:w="352" w:type="pct"/>
                  <w:shd w:val="clear" w:color="auto" w:fill="auto"/>
                  <w:noWrap/>
                  <w:vAlign w:val="center"/>
                </w:tcPr>
                <w:p w14:paraId="00D88B5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10.479</w:t>
                  </w:r>
                </w:p>
              </w:tc>
              <w:tc>
                <w:tcPr>
                  <w:tcW w:w="352" w:type="pct"/>
                  <w:shd w:val="clear" w:color="auto" w:fill="auto"/>
                  <w:noWrap/>
                  <w:vAlign w:val="center"/>
                </w:tcPr>
                <w:p w14:paraId="0E65279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14.272</w:t>
                  </w:r>
                </w:p>
              </w:tc>
              <w:tc>
                <w:tcPr>
                  <w:tcW w:w="352" w:type="pct"/>
                  <w:shd w:val="clear" w:color="auto" w:fill="auto"/>
                  <w:noWrap/>
                  <w:vAlign w:val="center"/>
                </w:tcPr>
                <w:p w14:paraId="59ACE08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45.149</w:t>
                  </w:r>
                </w:p>
              </w:tc>
              <w:tc>
                <w:tcPr>
                  <w:tcW w:w="352" w:type="pct"/>
                  <w:shd w:val="clear" w:color="auto" w:fill="auto"/>
                  <w:noWrap/>
                  <w:vAlign w:val="center"/>
                </w:tcPr>
                <w:p w14:paraId="582DF55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33.491</w:t>
                  </w:r>
                </w:p>
              </w:tc>
              <w:tc>
                <w:tcPr>
                  <w:tcW w:w="352" w:type="pct"/>
                  <w:shd w:val="clear" w:color="auto" w:fill="auto"/>
                  <w:noWrap/>
                  <w:vAlign w:val="center"/>
                </w:tcPr>
                <w:p w14:paraId="7628FFF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7.418</w:t>
                  </w:r>
                </w:p>
              </w:tc>
              <w:tc>
                <w:tcPr>
                  <w:tcW w:w="352" w:type="pct"/>
                  <w:shd w:val="clear" w:color="auto" w:fill="auto"/>
                  <w:noWrap/>
                  <w:vAlign w:val="center"/>
                </w:tcPr>
                <w:p w14:paraId="1DF1656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101.509</w:t>
                  </w:r>
                </w:p>
              </w:tc>
              <w:tc>
                <w:tcPr>
                  <w:tcW w:w="352" w:type="pct"/>
                  <w:shd w:val="clear" w:color="auto" w:fill="auto"/>
                  <w:noWrap/>
                  <w:vAlign w:val="center"/>
                </w:tcPr>
                <w:p w14:paraId="50CBE7D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93.664</w:t>
                  </w:r>
                </w:p>
              </w:tc>
              <w:tc>
                <w:tcPr>
                  <w:tcW w:w="352" w:type="pct"/>
                  <w:shd w:val="clear" w:color="auto" w:fill="auto"/>
                  <w:noWrap/>
                  <w:vAlign w:val="center"/>
                </w:tcPr>
                <w:p w14:paraId="3989677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1.641</w:t>
                  </w:r>
                </w:p>
              </w:tc>
              <w:tc>
                <w:tcPr>
                  <w:tcW w:w="352" w:type="pct"/>
                  <w:shd w:val="clear" w:color="auto" w:fill="auto"/>
                  <w:noWrap/>
                  <w:vAlign w:val="center"/>
                </w:tcPr>
                <w:p w14:paraId="6753039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108.51</w:t>
                  </w:r>
                </w:p>
              </w:tc>
            </w:tr>
            <w:tr w14:paraId="43DB7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33D37C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2025-02-14 00:00:00</w:t>
                  </w:r>
                </w:p>
              </w:tc>
              <w:tc>
                <w:tcPr>
                  <w:tcW w:w="352" w:type="pct"/>
                  <w:shd w:val="clear" w:color="auto" w:fill="auto"/>
                  <w:noWrap/>
                  <w:vAlign w:val="center"/>
                </w:tcPr>
                <w:p w14:paraId="3E92D13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28.792</w:t>
                  </w:r>
                </w:p>
              </w:tc>
              <w:tc>
                <w:tcPr>
                  <w:tcW w:w="352" w:type="pct"/>
                  <w:shd w:val="clear" w:color="auto" w:fill="auto"/>
                  <w:noWrap/>
                  <w:vAlign w:val="center"/>
                </w:tcPr>
                <w:p w14:paraId="2170529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1.313</w:t>
                  </w:r>
                </w:p>
              </w:tc>
              <w:tc>
                <w:tcPr>
                  <w:tcW w:w="352" w:type="pct"/>
                  <w:shd w:val="clear" w:color="auto" w:fill="auto"/>
                  <w:noWrap/>
                  <w:vAlign w:val="center"/>
                </w:tcPr>
                <w:p w14:paraId="6D1C51A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2.64</w:t>
                  </w:r>
                </w:p>
              </w:tc>
              <w:tc>
                <w:tcPr>
                  <w:tcW w:w="352" w:type="pct"/>
                  <w:shd w:val="clear" w:color="auto" w:fill="auto"/>
                  <w:noWrap/>
                  <w:vAlign w:val="center"/>
                </w:tcPr>
                <w:p w14:paraId="727455D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3.82</w:t>
                  </w:r>
                </w:p>
              </w:tc>
              <w:tc>
                <w:tcPr>
                  <w:tcW w:w="352" w:type="pct"/>
                  <w:shd w:val="clear" w:color="auto" w:fill="auto"/>
                  <w:noWrap/>
                  <w:vAlign w:val="center"/>
                </w:tcPr>
                <w:p w14:paraId="740F117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12.888</w:t>
                  </w:r>
                </w:p>
              </w:tc>
              <w:tc>
                <w:tcPr>
                  <w:tcW w:w="352" w:type="pct"/>
                  <w:shd w:val="clear" w:color="auto" w:fill="auto"/>
                  <w:noWrap/>
                  <w:vAlign w:val="center"/>
                </w:tcPr>
                <w:p w14:paraId="011E111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16.708</w:t>
                  </w:r>
                </w:p>
              </w:tc>
              <w:tc>
                <w:tcPr>
                  <w:tcW w:w="352" w:type="pct"/>
                  <w:shd w:val="clear" w:color="auto" w:fill="auto"/>
                  <w:noWrap/>
                  <w:vAlign w:val="center"/>
                </w:tcPr>
                <w:p w14:paraId="798394B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115.877</w:t>
                  </w:r>
                </w:p>
              </w:tc>
              <w:tc>
                <w:tcPr>
                  <w:tcW w:w="352" w:type="pct"/>
                  <w:shd w:val="clear" w:color="auto" w:fill="auto"/>
                  <w:noWrap/>
                  <w:vAlign w:val="center"/>
                </w:tcPr>
                <w:p w14:paraId="47ED5B7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89.228</w:t>
                  </w:r>
                </w:p>
              </w:tc>
              <w:tc>
                <w:tcPr>
                  <w:tcW w:w="352" w:type="pct"/>
                  <w:shd w:val="clear" w:color="auto" w:fill="auto"/>
                  <w:noWrap/>
                  <w:vAlign w:val="center"/>
                </w:tcPr>
                <w:p w14:paraId="77DADCF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8.336</w:t>
                  </w:r>
                </w:p>
              </w:tc>
              <w:tc>
                <w:tcPr>
                  <w:tcW w:w="352" w:type="pct"/>
                  <w:shd w:val="clear" w:color="auto" w:fill="auto"/>
                  <w:noWrap/>
                  <w:vAlign w:val="center"/>
                </w:tcPr>
                <w:p w14:paraId="225AD4E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101.553</w:t>
                  </w:r>
                </w:p>
              </w:tc>
              <w:tc>
                <w:tcPr>
                  <w:tcW w:w="352" w:type="pct"/>
                  <w:shd w:val="clear" w:color="auto" w:fill="auto"/>
                  <w:noWrap/>
                  <w:vAlign w:val="center"/>
                </w:tcPr>
                <w:p w14:paraId="11A77E1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76.375</w:t>
                  </w:r>
                </w:p>
              </w:tc>
              <w:tc>
                <w:tcPr>
                  <w:tcW w:w="352" w:type="pct"/>
                  <w:shd w:val="clear" w:color="auto" w:fill="auto"/>
                  <w:noWrap/>
                  <w:vAlign w:val="center"/>
                </w:tcPr>
                <w:p w14:paraId="619DD53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3.678</w:t>
                  </w:r>
                </w:p>
              </w:tc>
              <w:tc>
                <w:tcPr>
                  <w:tcW w:w="352" w:type="pct"/>
                  <w:shd w:val="clear" w:color="auto" w:fill="auto"/>
                  <w:noWrap/>
                  <w:vAlign w:val="center"/>
                </w:tcPr>
                <w:p w14:paraId="7F0A293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94.524</w:t>
                  </w:r>
                </w:p>
              </w:tc>
            </w:tr>
            <w:tr w14:paraId="22A6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49F266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2025-02-13 00:00:00</w:t>
                  </w:r>
                </w:p>
              </w:tc>
              <w:tc>
                <w:tcPr>
                  <w:tcW w:w="352" w:type="pct"/>
                  <w:shd w:val="clear" w:color="auto" w:fill="auto"/>
                  <w:noWrap/>
                  <w:vAlign w:val="center"/>
                </w:tcPr>
                <w:p w14:paraId="7890250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41.433</w:t>
                  </w:r>
                </w:p>
              </w:tc>
              <w:tc>
                <w:tcPr>
                  <w:tcW w:w="352" w:type="pct"/>
                  <w:shd w:val="clear" w:color="auto" w:fill="auto"/>
                  <w:noWrap/>
                  <w:vAlign w:val="center"/>
                </w:tcPr>
                <w:p w14:paraId="4CE8D2C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1.182</w:t>
                  </w:r>
                </w:p>
              </w:tc>
              <w:tc>
                <w:tcPr>
                  <w:tcW w:w="352" w:type="pct"/>
                  <w:shd w:val="clear" w:color="auto" w:fill="auto"/>
                  <w:noWrap/>
                  <w:vAlign w:val="center"/>
                </w:tcPr>
                <w:p w14:paraId="1AEA414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3.114</w:t>
                  </w:r>
                </w:p>
              </w:tc>
              <w:tc>
                <w:tcPr>
                  <w:tcW w:w="352" w:type="pct"/>
                  <w:shd w:val="clear" w:color="auto" w:fill="auto"/>
                  <w:noWrap/>
                  <w:vAlign w:val="center"/>
                </w:tcPr>
                <w:p w14:paraId="27D6403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3.867</w:t>
                  </w:r>
                </w:p>
              </w:tc>
              <w:tc>
                <w:tcPr>
                  <w:tcW w:w="352" w:type="pct"/>
                  <w:shd w:val="clear" w:color="auto" w:fill="auto"/>
                  <w:noWrap/>
                  <w:vAlign w:val="center"/>
                </w:tcPr>
                <w:p w14:paraId="616A638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11.439</w:t>
                  </w:r>
                </w:p>
              </w:tc>
              <w:tc>
                <w:tcPr>
                  <w:tcW w:w="352" w:type="pct"/>
                  <w:shd w:val="clear" w:color="auto" w:fill="auto"/>
                  <w:noWrap/>
                  <w:vAlign w:val="center"/>
                </w:tcPr>
                <w:p w14:paraId="497850C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15.306</w:t>
                  </w:r>
                </w:p>
              </w:tc>
              <w:tc>
                <w:tcPr>
                  <w:tcW w:w="352" w:type="pct"/>
                  <w:shd w:val="clear" w:color="auto" w:fill="auto"/>
                  <w:noWrap/>
                  <w:vAlign w:val="center"/>
                </w:tcPr>
                <w:p w14:paraId="27C011B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102.757</w:t>
                  </w:r>
                </w:p>
              </w:tc>
              <w:tc>
                <w:tcPr>
                  <w:tcW w:w="352" w:type="pct"/>
                  <w:shd w:val="clear" w:color="auto" w:fill="auto"/>
                  <w:noWrap/>
                  <w:vAlign w:val="center"/>
                </w:tcPr>
                <w:p w14:paraId="0E73E25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72.12</w:t>
                  </w:r>
                </w:p>
              </w:tc>
              <w:tc>
                <w:tcPr>
                  <w:tcW w:w="352" w:type="pct"/>
                  <w:shd w:val="clear" w:color="auto" w:fill="auto"/>
                  <w:noWrap/>
                  <w:vAlign w:val="center"/>
                </w:tcPr>
                <w:p w14:paraId="0EBEBCB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10.347</w:t>
                  </w:r>
                </w:p>
              </w:tc>
              <w:tc>
                <w:tcPr>
                  <w:tcW w:w="352" w:type="pct"/>
                  <w:shd w:val="clear" w:color="auto" w:fill="auto"/>
                  <w:noWrap/>
                  <w:vAlign w:val="center"/>
                </w:tcPr>
                <w:p w14:paraId="465A3FD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102.128</w:t>
                  </w:r>
                </w:p>
              </w:tc>
              <w:tc>
                <w:tcPr>
                  <w:tcW w:w="352" w:type="pct"/>
                  <w:shd w:val="clear" w:color="auto" w:fill="auto"/>
                  <w:noWrap/>
                  <w:vAlign w:val="center"/>
                </w:tcPr>
                <w:p w14:paraId="0F4F53D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66.044</w:t>
                  </w:r>
                </w:p>
              </w:tc>
              <w:tc>
                <w:tcPr>
                  <w:tcW w:w="352" w:type="pct"/>
                  <w:shd w:val="clear" w:color="auto" w:fill="auto"/>
                  <w:noWrap/>
                  <w:vAlign w:val="center"/>
                </w:tcPr>
                <w:p w14:paraId="71508FA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3.1</w:t>
                  </w:r>
                </w:p>
              </w:tc>
              <w:tc>
                <w:tcPr>
                  <w:tcW w:w="352" w:type="pct"/>
                  <w:shd w:val="clear" w:color="auto" w:fill="auto"/>
                  <w:noWrap/>
                  <w:vAlign w:val="center"/>
                </w:tcPr>
                <w:p w14:paraId="3AA337F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96.612</w:t>
                  </w:r>
                </w:p>
              </w:tc>
            </w:tr>
            <w:tr w14:paraId="11971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89AC2C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2025-02-12 00:00:00</w:t>
                  </w:r>
                </w:p>
              </w:tc>
              <w:tc>
                <w:tcPr>
                  <w:tcW w:w="352" w:type="pct"/>
                  <w:shd w:val="clear" w:color="auto" w:fill="auto"/>
                  <w:noWrap/>
                  <w:vAlign w:val="center"/>
                </w:tcPr>
                <w:p w14:paraId="142FF21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29.555</w:t>
                  </w:r>
                </w:p>
              </w:tc>
              <w:tc>
                <w:tcPr>
                  <w:tcW w:w="352" w:type="pct"/>
                  <w:shd w:val="clear" w:color="auto" w:fill="auto"/>
                  <w:noWrap/>
                  <w:vAlign w:val="center"/>
                </w:tcPr>
                <w:p w14:paraId="0E67180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1.07</w:t>
                  </w:r>
                </w:p>
              </w:tc>
              <w:tc>
                <w:tcPr>
                  <w:tcW w:w="352" w:type="pct"/>
                  <w:shd w:val="clear" w:color="auto" w:fill="auto"/>
                  <w:noWrap/>
                  <w:vAlign w:val="center"/>
                </w:tcPr>
                <w:p w14:paraId="241081F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2.226</w:t>
                  </w:r>
                </w:p>
              </w:tc>
              <w:tc>
                <w:tcPr>
                  <w:tcW w:w="352" w:type="pct"/>
                  <w:shd w:val="clear" w:color="auto" w:fill="auto"/>
                  <w:noWrap/>
                  <w:vAlign w:val="center"/>
                </w:tcPr>
                <w:p w14:paraId="2856523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3.497</w:t>
                  </w:r>
                </w:p>
              </w:tc>
              <w:tc>
                <w:tcPr>
                  <w:tcW w:w="352" w:type="pct"/>
                  <w:shd w:val="clear" w:color="auto" w:fill="auto"/>
                  <w:noWrap/>
                  <w:vAlign w:val="center"/>
                </w:tcPr>
                <w:p w14:paraId="129C18D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9.838</w:t>
                  </w:r>
                </w:p>
              </w:tc>
              <w:tc>
                <w:tcPr>
                  <w:tcW w:w="352" w:type="pct"/>
                  <w:shd w:val="clear" w:color="auto" w:fill="auto"/>
                  <w:noWrap/>
                  <w:vAlign w:val="center"/>
                </w:tcPr>
                <w:p w14:paraId="0972A1D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13.335</w:t>
                  </w:r>
                </w:p>
              </w:tc>
              <w:tc>
                <w:tcPr>
                  <w:tcW w:w="352" w:type="pct"/>
                  <w:shd w:val="clear" w:color="auto" w:fill="auto"/>
                  <w:noWrap/>
                  <w:vAlign w:val="center"/>
                </w:tcPr>
                <w:p w14:paraId="0DB6860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71.485</w:t>
                  </w:r>
                </w:p>
              </w:tc>
              <w:tc>
                <w:tcPr>
                  <w:tcW w:w="352" w:type="pct"/>
                  <w:shd w:val="clear" w:color="auto" w:fill="auto"/>
                  <w:noWrap/>
                  <w:vAlign w:val="center"/>
                </w:tcPr>
                <w:p w14:paraId="2E3F74E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54.587</w:t>
                  </w:r>
                </w:p>
              </w:tc>
              <w:tc>
                <w:tcPr>
                  <w:tcW w:w="352" w:type="pct"/>
                  <w:shd w:val="clear" w:color="auto" w:fill="auto"/>
                  <w:noWrap/>
                  <w:vAlign w:val="center"/>
                </w:tcPr>
                <w:p w14:paraId="5373D57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9.432</w:t>
                  </w:r>
                </w:p>
              </w:tc>
              <w:tc>
                <w:tcPr>
                  <w:tcW w:w="352" w:type="pct"/>
                  <w:shd w:val="clear" w:color="auto" w:fill="auto"/>
                  <w:noWrap/>
                  <w:vAlign w:val="center"/>
                </w:tcPr>
                <w:p w14:paraId="1DD2495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102.098</w:t>
                  </w:r>
                </w:p>
              </w:tc>
              <w:tc>
                <w:tcPr>
                  <w:tcW w:w="352" w:type="pct"/>
                  <w:shd w:val="clear" w:color="auto" w:fill="auto"/>
                  <w:noWrap/>
                  <w:vAlign w:val="center"/>
                </w:tcPr>
                <w:p w14:paraId="275497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74.084</w:t>
                  </w:r>
                </w:p>
              </w:tc>
              <w:tc>
                <w:tcPr>
                  <w:tcW w:w="352" w:type="pct"/>
                  <w:shd w:val="clear" w:color="auto" w:fill="auto"/>
                  <w:noWrap/>
                  <w:vAlign w:val="center"/>
                </w:tcPr>
                <w:p w14:paraId="7344DDD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5.272</w:t>
                  </w:r>
                </w:p>
              </w:tc>
              <w:tc>
                <w:tcPr>
                  <w:tcW w:w="352" w:type="pct"/>
                  <w:shd w:val="clear" w:color="auto" w:fill="auto"/>
                  <w:noWrap/>
                  <w:vAlign w:val="center"/>
                </w:tcPr>
                <w:p w14:paraId="34007BB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89.238</w:t>
                  </w:r>
                </w:p>
              </w:tc>
            </w:tr>
            <w:tr w14:paraId="7627A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C16A55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2025-02-11 00:00:00</w:t>
                  </w:r>
                </w:p>
              </w:tc>
              <w:tc>
                <w:tcPr>
                  <w:tcW w:w="352" w:type="pct"/>
                  <w:shd w:val="clear" w:color="auto" w:fill="auto"/>
                  <w:noWrap/>
                  <w:vAlign w:val="center"/>
                </w:tcPr>
                <w:p w14:paraId="3BD2E9A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43.757</w:t>
                  </w:r>
                </w:p>
              </w:tc>
              <w:tc>
                <w:tcPr>
                  <w:tcW w:w="352" w:type="pct"/>
                  <w:shd w:val="clear" w:color="auto" w:fill="auto"/>
                  <w:noWrap/>
                  <w:vAlign w:val="center"/>
                </w:tcPr>
                <w:p w14:paraId="255B8CA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1.086</w:t>
                  </w:r>
                </w:p>
              </w:tc>
              <w:tc>
                <w:tcPr>
                  <w:tcW w:w="352" w:type="pct"/>
                  <w:shd w:val="clear" w:color="auto" w:fill="auto"/>
                  <w:noWrap/>
                  <w:vAlign w:val="center"/>
                </w:tcPr>
                <w:p w14:paraId="442FD7B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5.972</w:t>
                  </w:r>
                </w:p>
              </w:tc>
              <w:tc>
                <w:tcPr>
                  <w:tcW w:w="352" w:type="pct"/>
                  <w:shd w:val="clear" w:color="auto" w:fill="auto"/>
                  <w:noWrap/>
                  <w:vAlign w:val="center"/>
                </w:tcPr>
                <w:p w14:paraId="7A7309F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4.313</w:t>
                  </w:r>
                </w:p>
              </w:tc>
              <w:tc>
                <w:tcPr>
                  <w:tcW w:w="352" w:type="pct"/>
                  <w:shd w:val="clear" w:color="auto" w:fill="auto"/>
                  <w:noWrap/>
                  <w:vAlign w:val="center"/>
                </w:tcPr>
                <w:p w14:paraId="2A51AF4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14.267</w:t>
                  </w:r>
                </w:p>
              </w:tc>
              <w:tc>
                <w:tcPr>
                  <w:tcW w:w="352" w:type="pct"/>
                  <w:shd w:val="clear" w:color="auto" w:fill="auto"/>
                  <w:noWrap/>
                  <w:vAlign w:val="center"/>
                </w:tcPr>
                <w:p w14:paraId="1ABD33B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18.58</w:t>
                  </w:r>
                </w:p>
              </w:tc>
              <w:tc>
                <w:tcPr>
                  <w:tcW w:w="352" w:type="pct"/>
                  <w:shd w:val="clear" w:color="auto" w:fill="auto"/>
                  <w:noWrap/>
                  <w:vAlign w:val="center"/>
                </w:tcPr>
                <w:p w14:paraId="6776E5C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66.708</w:t>
                  </w:r>
                </w:p>
              </w:tc>
              <w:tc>
                <w:tcPr>
                  <w:tcW w:w="352" w:type="pct"/>
                  <w:shd w:val="clear" w:color="auto" w:fill="auto"/>
                  <w:noWrap/>
                  <w:vAlign w:val="center"/>
                </w:tcPr>
                <w:p w14:paraId="5759D06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46.633</w:t>
                  </w:r>
                </w:p>
              </w:tc>
              <w:tc>
                <w:tcPr>
                  <w:tcW w:w="352" w:type="pct"/>
                  <w:shd w:val="clear" w:color="auto" w:fill="auto"/>
                  <w:noWrap/>
                  <w:vAlign w:val="center"/>
                </w:tcPr>
                <w:p w14:paraId="2B9C890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12.709</w:t>
                  </w:r>
                </w:p>
              </w:tc>
              <w:tc>
                <w:tcPr>
                  <w:tcW w:w="352" w:type="pct"/>
                  <w:shd w:val="clear" w:color="auto" w:fill="auto"/>
                  <w:noWrap/>
                  <w:vAlign w:val="center"/>
                </w:tcPr>
                <w:p w14:paraId="2F40F52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101.191</w:t>
                  </w:r>
                </w:p>
              </w:tc>
              <w:tc>
                <w:tcPr>
                  <w:tcW w:w="352" w:type="pct"/>
                  <w:shd w:val="clear" w:color="auto" w:fill="auto"/>
                  <w:noWrap/>
                  <w:vAlign w:val="center"/>
                </w:tcPr>
                <w:p w14:paraId="6A09DAC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61</w:t>
                  </w:r>
                </w:p>
              </w:tc>
              <w:tc>
                <w:tcPr>
                  <w:tcW w:w="352" w:type="pct"/>
                  <w:shd w:val="clear" w:color="auto" w:fill="auto"/>
                  <w:noWrap/>
                  <w:vAlign w:val="center"/>
                </w:tcPr>
                <w:p w14:paraId="171B80B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1.948</w:t>
                  </w:r>
                </w:p>
              </w:tc>
              <w:tc>
                <w:tcPr>
                  <w:tcW w:w="352" w:type="pct"/>
                  <w:shd w:val="clear" w:color="auto" w:fill="auto"/>
                  <w:noWrap/>
                  <w:vAlign w:val="center"/>
                </w:tcPr>
                <w:p w14:paraId="1526376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76.267</w:t>
                  </w:r>
                </w:p>
              </w:tc>
            </w:tr>
            <w:tr w14:paraId="06EF4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A23FA4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2025-02-10 00:00:00</w:t>
                  </w:r>
                </w:p>
              </w:tc>
              <w:tc>
                <w:tcPr>
                  <w:tcW w:w="352" w:type="pct"/>
                  <w:shd w:val="clear" w:color="auto" w:fill="auto"/>
                  <w:noWrap/>
                  <w:vAlign w:val="center"/>
                </w:tcPr>
                <w:p w14:paraId="0144ED5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24.176</w:t>
                  </w:r>
                </w:p>
              </w:tc>
              <w:tc>
                <w:tcPr>
                  <w:tcW w:w="352" w:type="pct"/>
                  <w:shd w:val="clear" w:color="auto" w:fill="auto"/>
                  <w:noWrap/>
                  <w:vAlign w:val="center"/>
                </w:tcPr>
                <w:p w14:paraId="4C51753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0.677</w:t>
                  </w:r>
                </w:p>
              </w:tc>
              <w:tc>
                <w:tcPr>
                  <w:tcW w:w="352" w:type="pct"/>
                  <w:shd w:val="clear" w:color="auto" w:fill="auto"/>
                  <w:noWrap/>
                  <w:vAlign w:val="center"/>
                </w:tcPr>
                <w:p w14:paraId="6C09FC8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2.834</w:t>
                  </w:r>
                </w:p>
              </w:tc>
              <w:tc>
                <w:tcPr>
                  <w:tcW w:w="352" w:type="pct"/>
                  <w:shd w:val="clear" w:color="auto" w:fill="auto"/>
                  <w:noWrap/>
                  <w:vAlign w:val="center"/>
                </w:tcPr>
                <w:p w14:paraId="56295B3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3.895</w:t>
                  </w:r>
                </w:p>
              </w:tc>
              <w:tc>
                <w:tcPr>
                  <w:tcW w:w="352" w:type="pct"/>
                  <w:shd w:val="clear" w:color="auto" w:fill="auto"/>
                  <w:noWrap/>
                  <w:vAlign w:val="center"/>
                </w:tcPr>
                <w:p w14:paraId="0B9C882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12.211</w:t>
                  </w:r>
                </w:p>
              </w:tc>
              <w:tc>
                <w:tcPr>
                  <w:tcW w:w="352" w:type="pct"/>
                  <w:shd w:val="clear" w:color="auto" w:fill="auto"/>
                  <w:noWrap/>
                  <w:vAlign w:val="center"/>
                </w:tcPr>
                <w:p w14:paraId="0F1EE9E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16.106</w:t>
                  </w:r>
                </w:p>
              </w:tc>
              <w:tc>
                <w:tcPr>
                  <w:tcW w:w="352" w:type="pct"/>
                  <w:shd w:val="clear" w:color="auto" w:fill="auto"/>
                  <w:noWrap/>
                  <w:vAlign w:val="center"/>
                </w:tcPr>
                <w:p w14:paraId="2FFEFD5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53.922</w:t>
                  </w:r>
                </w:p>
              </w:tc>
              <w:tc>
                <w:tcPr>
                  <w:tcW w:w="352" w:type="pct"/>
                  <w:shd w:val="clear" w:color="auto" w:fill="auto"/>
                  <w:noWrap/>
                  <w:vAlign w:val="center"/>
                </w:tcPr>
                <w:p w14:paraId="6449803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32.254</w:t>
                  </w:r>
                </w:p>
              </w:tc>
              <w:tc>
                <w:tcPr>
                  <w:tcW w:w="352" w:type="pct"/>
                  <w:shd w:val="clear" w:color="auto" w:fill="auto"/>
                  <w:noWrap/>
                  <w:vAlign w:val="center"/>
                </w:tcPr>
                <w:p w14:paraId="72C9A69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8.676</w:t>
                  </w:r>
                </w:p>
              </w:tc>
              <w:tc>
                <w:tcPr>
                  <w:tcW w:w="352" w:type="pct"/>
                  <w:shd w:val="clear" w:color="auto" w:fill="auto"/>
                  <w:noWrap/>
                  <w:vAlign w:val="center"/>
                </w:tcPr>
                <w:p w14:paraId="3D09919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101.968</w:t>
                  </w:r>
                </w:p>
              </w:tc>
              <w:tc>
                <w:tcPr>
                  <w:tcW w:w="352" w:type="pct"/>
                  <w:shd w:val="clear" w:color="auto" w:fill="auto"/>
                  <w:noWrap/>
                  <w:vAlign w:val="center"/>
                </w:tcPr>
                <w:p w14:paraId="3322AB9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56.927</w:t>
                  </w:r>
                </w:p>
              </w:tc>
              <w:tc>
                <w:tcPr>
                  <w:tcW w:w="352" w:type="pct"/>
                  <w:shd w:val="clear" w:color="auto" w:fill="auto"/>
                  <w:noWrap/>
                  <w:vAlign w:val="center"/>
                </w:tcPr>
                <w:p w14:paraId="541E7F8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1.071</w:t>
                  </w:r>
                </w:p>
              </w:tc>
              <w:tc>
                <w:tcPr>
                  <w:tcW w:w="352" w:type="pct"/>
                  <w:shd w:val="clear" w:color="auto" w:fill="auto"/>
                  <w:noWrap/>
                  <w:vAlign w:val="center"/>
                </w:tcPr>
                <w:p w14:paraId="310E26B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77.976</w:t>
                  </w:r>
                </w:p>
              </w:tc>
            </w:tr>
            <w:tr w14:paraId="41471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23CF29F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2025-02-09 00:00:00</w:t>
                  </w:r>
                </w:p>
              </w:tc>
              <w:tc>
                <w:tcPr>
                  <w:tcW w:w="352" w:type="pct"/>
                  <w:shd w:val="clear" w:color="auto" w:fill="auto"/>
                  <w:noWrap/>
                  <w:vAlign w:val="center"/>
                </w:tcPr>
                <w:p w14:paraId="5D899FB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39.991</w:t>
                  </w:r>
                </w:p>
              </w:tc>
              <w:tc>
                <w:tcPr>
                  <w:tcW w:w="352" w:type="pct"/>
                  <w:shd w:val="clear" w:color="auto" w:fill="auto"/>
                  <w:noWrap/>
                  <w:vAlign w:val="center"/>
                </w:tcPr>
                <w:p w14:paraId="03C188D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0.474</w:t>
                  </w:r>
                </w:p>
              </w:tc>
              <w:tc>
                <w:tcPr>
                  <w:tcW w:w="352" w:type="pct"/>
                  <w:shd w:val="clear" w:color="auto" w:fill="auto"/>
                  <w:noWrap/>
                  <w:vAlign w:val="center"/>
                </w:tcPr>
                <w:p w14:paraId="32ABC45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3.836</w:t>
                  </w:r>
                </w:p>
              </w:tc>
              <w:tc>
                <w:tcPr>
                  <w:tcW w:w="352" w:type="pct"/>
                  <w:shd w:val="clear" w:color="auto" w:fill="auto"/>
                  <w:noWrap/>
                  <w:vAlign w:val="center"/>
                </w:tcPr>
                <w:p w14:paraId="02986A2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4.383</w:t>
                  </w:r>
                </w:p>
              </w:tc>
              <w:tc>
                <w:tcPr>
                  <w:tcW w:w="352" w:type="pct"/>
                  <w:shd w:val="clear" w:color="auto" w:fill="auto"/>
                  <w:noWrap/>
                  <w:vAlign w:val="center"/>
                </w:tcPr>
                <w:p w14:paraId="2C2DB35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9.124</w:t>
                  </w:r>
                </w:p>
              </w:tc>
              <w:tc>
                <w:tcPr>
                  <w:tcW w:w="352" w:type="pct"/>
                  <w:shd w:val="clear" w:color="auto" w:fill="auto"/>
                  <w:noWrap/>
                  <w:vAlign w:val="center"/>
                </w:tcPr>
                <w:p w14:paraId="7044C6A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13.507</w:t>
                  </w:r>
                </w:p>
              </w:tc>
              <w:tc>
                <w:tcPr>
                  <w:tcW w:w="352" w:type="pct"/>
                  <w:shd w:val="clear" w:color="auto" w:fill="auto"/>
                  <w:noWrap/>
                  <w:vAlign w:val="center"/>
                </w:tcPr>
                <w:p w14:paraId="1986B7B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54.528</w:t>
                  </w:r>
                </w:p>
              </w:tc>
              <w:tc>
                <w:tcPr>
                  <w:tcW w:w="352" w:type="pct"/>
                  <w:shd w:val="clear" w:color="auto" w:fill="auto"/>
                  <w:noWrap/>
                  <w:vAlign w:val="center"/>
                </w:tcPr>
                <w:p w14:paraId="6041908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22.075</w:t>
                  </w:r>
                </w:p>
              </w:tc>
              <w:tc>
                <w:tcPr>
                  <w:tcW w:w="352" w:type="pct"/>
                  <w:shd w:val="clear" w:color="auto" w:fill="auto"/>
                  <w:noWrap/>
                  <w:vAlign w:val="center"/>
                </w:tcPr>
                <w:p w14:paraId="4E51C68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5.084</w:t>
                  </w:r>
                </w:p>
              </w:tc>
              <w:tc>
                <w:tcPr>
                  <w:tcW w:w="352" w:type="pct"/>
                  <w:shd w:val="clear" w:color="auto" w:fill="auto"/>
                  <w:noWrap/>
                  <w:vAlign w:val="center"/>
                </w:tcPr>
                <w:p w14:paraId="323B350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102.597</w:t>
                  </w:r>
                </w:p>
              </w:tc>
              <w:tc>
                <w:tcPr>
                  <w:tcW w:w="352" w:type="pct"/>
                  <w:shd w:val="clear" w:color="auto" w:fill="auto"/>
                  <w:noWrap/>
                  <w:vAlign w:val="center"/>
                </w:tcPr>
                <w:p w14:paraId="246E995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52.906</w:t>
                  </w:r>
                </w:p>
              </w:tc>
              <w:tc>
                <w:tcPr>
                  <w:tcW w:w="352" w:type="pct"/>
                  <w:shd w:val="clear" w:color="auto" w:fill="auto"/>
                  <w:noWrap/>
                  <w:vAlign w:val="center"/>
                </w:tcPr>
                <w:p w14:paraId="41FDC79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1.646</w:t>
                  </w:r>
                </w:p>
              </w:tc>
              <w:tc>
                <w:tcPr>
                  <w:tcW w:w="352" w:type="pct"/>
                  <w:shd w:val="clear" w:color="auto" w:fill="auto"/>
                  <w:noWrap/>
                  <w:vAlign w:val="center"/>
                </w:tcPr>
                <w:p w14:paraId="3FDDF68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67.735</w:t>
                  </w:r>
                </w:p>
              </w:tc>
            </w:tr>
            <w:tr w14:paraId="24659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EFA7BF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2025-02-08 00:00:00</w:t>
                  </w:r>
                </w:p>
              </w:tc>
              <w:tc>
                <w:tcPr>
                  <w:tcW w:w="352" w:type="pct"/>
                  <w:shd w:val="clear" w:color="auto" w:fill="auto"/>
                  <w:noWrap/>
                  <w:vAlign w:val="center"/>
                </w:tcPr>
                <w:p w14:paraId="4A71E76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31.056</w:t>
                  </w:r>
                </w:p>
              </w:tc>
              <w:tc>
                <w:tcPr>
                  <w:tcW w:w="352" w:type="pct"/>
                  <w:shd w:val="clear" w:color="auto" w:fill="auto"/>
                  <w:noWrap/>
                  <w:vAlign w:val="center"/>
                </w:tcPr>
                <w:p w14:paraId="0EC82BC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0.327</w:t>
                  </w:r>
                </w:p>
              </w:tc>
              <w:tc>
                <w:tcPr>
                  <w:tcW w:w="352" w:type="pct"/>
                  <w:shd w:val="clear" w:color="auto" w:fill="auto"/>
                  <w:noWrap/>
                  <w:vAlign w:val="center"/>
                </w:tcPr>
                <w:p w14:paraId="30430E7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1.061</w:t>
                  </w:r>
                </w:p>
              </w:tc>
              <w:tc>
                <w:tcPr>
                  <w:tcW w:w="352" w:type="pct"/>
                  <w:shd w:val="clear" w:color="auto" w:fill="auto"/>
                  <w:noWrap/>
                  <w:vAlign w:val="center"/>
                </w:tcPr>
                <w:p w14:paraId="178F8B8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3.651</w:t>
                  </w:r>
                </w:p>
              </w:tc>
              <w:tc>
                <w:tcPr>
                  <w:tcW w:w="352" w:type="pct"/>
                  <w:shd w:val="clear" w:color="auto" w:fill="auto"/>
                  <w:noWrap/>
                  <w:vAlign w:val="center"/>
                </w:tcPr>
                <w:p w14:paraId="78E99EA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5.315</w:t>
                  </w:r>
                </w:p>
              </w:tc>
              <w:tc>
                <w:tcPr>
                  <w:tcW w:w="352" w:type="pct"/>
                  <w:shd w:val="clear" w:color="auto" w:fill="auto"/>
                  <w:noWrap/>
                  <w:vAlign w:val="center"/>
                </w:tcPr>
                <w:p w14:paraId="35774A6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8.966</w:t>
                  </w:r>
                </w:p>
              </w:tc>
              <w:tc>
                <w:tcPr>
                  <w:tcW w:w="352" w:type="pct"/>
                  <w:shd w:val="clear" w:color="auto" w:fill="auto"/>
                  <w:noWrap/>
                  <w:vAlign w:val="center"/>
                </w:tcPr>
                <w:p w14:paraId="3C6D0E3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64.573</w:t>
                  </w:r>
                </w:p>
              </w:tc>
              <w:tc>
                <w:tcPr>
                  <w:tcW w:w="352" w:type="pct"/>
                  <w:shd w:val="clear" w:color="auto" w:fill="auto"/>
                  <w:noWrap/>
                  <w:vAlign w:val="center"/>
                </w:tcPr>
                <w:p w14:paraId="3EC7C09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10.942</w:t>
                  </w:r>
                </w:p>
              </w:tc>
              <w:tc>
                <w:tcPr>
                  <w:tcW w:w="352" w:type="pct"/>
                  <w:shd w:val="clear" w:color="auto" w:fill="auto"/>
                  <w:noWrap/>
                  <w:vAlign w:val="center"/>
                </w:tcPr>
                <w:p w14:paraId="1034C59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3.955</w:t>
                  </w:r>
                </w:p>
              </w:tc>
              <w:tc>
                <w:tcPr>
                  <w:tcW w:w="352" w:type="pct"/>
                  <w:shd w:val="clear" w:color="auto" w:fill="auto"/>
                  <w:noWrap/>
                  <w:vAlign w:val="center"/>
                </w:tcPr>
                <w:p w14:paraId="538DE09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103.183</w:t>
                  </w:r>
                </w:p>
              </w:tc>
              <w:tc>
                <w:tcPr>
                  <w:tcW w:w="352" w:type="pct"/>
                  <w:shd w:val="clear" w:color="auto" w:fill="auto"/>
                  <w:noWrap/>
                  <w:vAlign w:val="center"/>
                </w:tcPr>
                <w:p w14:paraId="04ECEDE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45.77</w:t>
                  </w:r>
                </w:p>
              </w:tc>
              <w:tc>
                <w:tcPr>
                  <w:tcW w:w="352" w:type="pct"/>
                  <w:shd w:val="clear" w:color="auto" w:fill="auto"/>
                  <w:noWrap/>
                  <w:vAlign w:val="center"/>
                </w:tcPr>
                <w:p w14:paraId="1070490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4.177</w:t>
                  </w:r>
                </w:p>
              </w:tc>
              <w:tc>
                <w:tcPr>
                  <w:tcW w:w="352" w:type="pct"/>
                  <w:shd w:val="clear" w:color="auto" w:fill="auto"/>
                  <w:noWrap/>
                  <w:vAlign w:val="center"/>
                </w:tcPr>
                <w:p w14:paraId="3EAD962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86.095</w:t>
                  </w:r>
                </w:p>
              </w:tc>
            </w:tr>
            <w:tr w14:paraId="41409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75F01F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2025-02-07 00:00:00</w:t>
                  </w:r>
                </w:p>
              </w:tc>
              <w:tc>
                <w:tcPr>
                  <w:tcW w:w="352" w:type="pct"/>
                  <w:shd w:val="clear" w:color="auto" w:fill="auto"/>
                  <w:noWrap/>
                  <w:vAlign w:val="center"/>
                </w:tcPr>
                <w:p w14:paraId="42DC437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30.088</w:t>
                  </w:r>
                </w:p>
              </w:tc>
              <w:tc>
                <w:tcPr>
                  <w:tcW w:w="352" w:type="pct"/>
                  <w:shd w:val="clear" w:color="auto" w:fill="auto"/>
                  <w:noWrap/>
                  <w:vAlign w:val="center"/>
                </w:tcPr>
                <w:p w14:paraId="17141B8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0.754</w:t>
                  </w:r>
                </w:p>
              </w:tc>
              <w:tc>
                <w:tcPr>
                  <w:tcW w:w="352" w:type="pct"/>
                  <w:shd w:val="clear" w:color="auto" w:fill="auto"/>
                  <w:noWrap/>
                  <w:vAlign w:val="center"/>
                </w:tcPr>
                <w:p w14:paraId="797186F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2.838</w:t>
                  </w:r>
                </w:p>
              </w:tc>
              <w:tc>
                <w:tcPr>
                  <w:tcW w:w="352" w:type="pct"/>
                  <w:shd w:val="clear" w:color="auto" w:fill="auto"/>
                  <w:noWrap/>
                  <w:vAlign w:val="center"/>
                </w:tcPr>
                <w:p w14:paraId="1354ED3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6.4</w:t>
                  </w:r>
                </w:p>
              </w:tc>
              <w:tc>
                <w:tcPr>
                  <w:tcW w:w="352" w:type="pct"/>
                  <w:shd w:val="clear" w:color="auto" w:fill="auto"/>
                  <w:noWrap/>
                  <w:vAlign w:val="center"/>
                </w:tcPr>
                <w:p w14:paraId="3C1DCF5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16.059</w:t>
                  </w:r>
                </w:p>
              </w:tc>
              <w:tc>
                <w:tcPr>
                  <w:tcW w:w="352" w:type="pct"/>
                  <w:shd w:val="clear" w:color="auto" w:fill="auto"/>
                  <w:noWrap/>
                  <w:vAlign w:val="center"/>
                </w:tcPr>
                <w:p w14:paraId="5EA9284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22.459</w:t>
                  </w:r>
                </w:p>
              </w:tc>
              <w:tc>
                <w:tcPr>
                  <w:tcW w:w="352" w:type="pct"/>
                  <w:shd w:val="clear" w:color="auto" w:fill="auto"/>
                  <w:noWrap/>
                  <w:vAlign w:val="center"/>
                </w:tcPr>
                <w:p w14:paraId="1A7C2C6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90.531</w:t>
                  </w:r>
                </w:p>
              </w:tc>
              <w:tc>
                <w:tcPr>
                  <w:tcW w:w="352" w:type="pct"/>
                  <w:shd w:val="clear" w:color="auto" w:fill="auto"/>
                  <w:noWrap/>
                  <w:vAlign w:val="center"/>
                </w:tcPr>
                <w:p w14:paraId="28C02CC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41.204</w:t>
                  </w:r>
                </w:p>
              </w:tc>
              <w:tc>
                <w:tcPr>
                  <w:tcW w:w="352" w:type="pct"/>
                  <w:shd w:val="clear" w:color="auto" w:fill="auto"/>
                  <w:noWrap/>
                  <w:vAlign w:val="center"/>
                </w:tcPr>
                <w:p w14:paraId="6F81D0E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6.999</w:t>
                  </w:r>
                </w:p>
              </w:tc>
              <w:tc>
                <w:tcPr>
                  <w:tcW w:w="352" w:type="pct"/>
                  <w:shd w:val="clear" w:color="auto" w:fill="auto"/>
                  <w:noWrap/>
                  <w:vAlign w:val="center"/>
                </w:tcPr>
                <w:p w14:paraId="6239657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102.766</w:t>
                  </w:r>
                </w:p>
              </w:tc>
              <w:tc>
                <w:tcPr>
                  <w:tcW w:w="352" w:type="pct"/>
                  <w:shd w:val="clear" w:color="auto" w:fill="auto"/>
                  <w:noWrap/>
                  <w:vAlign w:val="center"/>
                </w:tcPr>
                <w:p w14:paraId="4EF5B3B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75.761</w:t>
                  </w:r>
                </w:p>
              </w:tc>
              <w:tc>
                <w:tcPr>
                  <w:tcW w:w="352" w:type="pct"/>
                  <w:shd w:val="clear" w:color="auto" w:fill="auto"/>
                  <w:noWrap/>
                  <w:vAlign w:val="center"/>
                </w:tcPr>
                <w:p w14:paraId="42FD0DA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3.923</w:t>
                  </w:r>
                </w:p>
              </w:tc>
              <w:tc>
                <w:tcPr>
                  <w:tcW w:w="352" w:type="pct"/>
                  <w:shd w:val="clear" w:color="auto" w:fill="auto"/>
                  <w:noWrap/>
                  <w:vAlign w:val="center"/>
                </w:tcPr>
                <w:p w14:paraId="0101E87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98.337</w:t>
                  </w:r>
                </w:p>
              </w:tc>
            </w:tr>
            <w:tr w14:paraId="7CDDC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65106B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2025-02-06 00:00:00</w:t>
                  </w:r>
                </w:p>
              </w:tc>
              <w:tc>
                <w:tcPr>
                  <w:tcW w:w="352" w:type="pct"/>
                  <w:shd w:val="clear" w:color="auto" w:fill="auto"/>
                  <w:noWrap/>
                  <w:vAlign w:val="center"/>
                </w:tcPr>
                <w:p w14:paraId="4D7B0C5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20.037</w:t>
                  </w:r>
                </w:p>
              </w:tc>
              <w:tc>
                <w:tcPr>
                  <w:tcW w:w="352" w:type="pct"/>
                  <w:shd w:val="clear" w:color="auto" w:fill="auto"/>
                  <w:noWrap/>
                  <w:vAlign w:val="center"/>
                </w:tcPr>
                <w:p w14:paraId="049472F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1.084</w:t>
                  </w:r>
                </w:p>
              </w:tc>
              <w:tc>
                <w:tcPr>
                  <w:tcW w:w="352" w:type="pct"/>
                  <w:shd w:val="clear" w:color="auto" w:fill="auto"/>
                  <w:noWrap/>
                  <w:vAlign w:val="center"/>
                </w:tcPr>
                <w:p w14:paraId="4E0B4B0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8.203</w:t>
                  </w:r>
                </w:p>
              </w:tc>
              <w:tc>
                <w:tcPr>
                  <w:tcW w:w="352" w:type="pct"/>
                  <w:shd w:val="clear" w:color="auto" w:fill="auto"/>
                  <w:noWrap/>
                  <w:vAlign w:val="center"/>
                </w:tcPr>
                <w:p w14:paraId="2249B7C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3.84</w:t>
                  </w:r>
                </w:p>
              </w:tc>
              <w:tc>
                <w:tcPr>
                  <w:tcW w:w="352" w:type="pct"/>
                  <w:shd w:val="clear" w:color="auto" w:fill="auto"/>
                  <w:noWrap/>
                  <w:vAlign w:val="center"/>
                </w:tcPr>
                <w:p w14:paraId="011B8F7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10.636</w:t>
                  </w:r>
                </w:p>
              </w:tc>
              <w:tc>
                <w:tcPr>
                  <w:tcW w:w="352" w:type="pct"/>
                  <w:shd w:val="clear" w:color="auto" w:fill="auto"/>
                  <w:noWrap/>
                  <w:vAlign w:val="center"/>
                </w:tcPr>
                <w:p w14:paraId="195C1AC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14.476</w:t>
                  </w:r>
                </w:p>
              </w:tc>
              <w:tc>
                <w:tcPr>
                  <w:tcW w:w="352" w:type="pct"/>
                  <w:shd w:val="clear" w:color="auto" w:fill="auto"/>
                  <w:noWrap/>
                  <w:vAlign w:val="center"/>
                </w:tcPr>
                <w:p w14:paraId="7D7C2DD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68.002</w:t>
                  </w:r>
                </w:p>
              </w:tc>
              <w:tc>
                <w:tcPr>
                  <w:tcW w:w="352" w:type="pct"/>
                  <w:shd w:val="clear" w:color="auto" w:fill="auto"/>
                  <w:noWrap/>
                  <w:vAlign w:val="center"/>
                </w:tcPr>
                <w:p w14:paraId="1FF8805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56.697</w:t>
                  </w:r>
                </w:p>
              </w:tc>
              <w:tc>
                <w:tcPr>
                  <w:tcW w:w="352" w:type="pct"/>
                  <w:shd w:val="clear" w:color="auto" w:fill="auto"/>
                  <w:noWrap/>
                  <w:vAlign w:val="center"/>
                </w:tcPr>
                <w:p w14:paraId="1B6168C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7.276</w:t>
                  </w:r>
                </w:p>
              </w:tc>
              <w:tc>
                <w:tcPr>
                  <w:tcW w:w="352" w:type="pct"/>
                  <w:shd w:val="clear" w:color="auto" w:fill="auto"/>
                  <w:noWrap/>
                  <w:vAlign w:val="center"/>
                </w:tcPr>
                <w:p w14:paraId="02FE1B0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101.918</w:t>
                  </w:r>
                </w:p>
              </w:tc>
              <w:tc>
                <w:tcPr>
                  <w:tcW w:w="352" w:type="pct"/>
                  <w:shd w:val="clear" w:color="auto" w:fill="auto"/>
                  <w:noWrap/>
                  <w:vAlign w:val="center"/>
                </w:tcPr>
                <w:p w14:paraId="695E8E0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90.296</w:t>
                  </w:r>
                </w:p>
              </w:tc>
              <w:tc>
                <w:tcPr>
                  <w:tcW w:w="352" w:type="pct"/>
                  <w:shd w:val="clear" w:color="auto" w:fill="auto"/>
                  <w:noWrap/>
                  <w:vAlign w:val="center"/>
                </w:tcPr>
                <w:p w14:paraId="6B7B001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2.305</w:t>
                  </w:r>
                </w:p>
              </w:tc>
              <w:tc>
                <w:tcPr>
                  <w:tcW w:w="352" w:type="pct"/>
                  <w:shd w:val="clear" w:color="auto" w:fill="auto"/>
                  <w:noWrap/>
                  <w:vAlign w:val="center"/>
                </w:tcPr>
                <w:p w14:paraId="68BEDAD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78.659</w:t>
                  </w:r>
                </w:p>
              </w:tc>
            </w:tr>
            <w:tr w14:paraId="690DF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6474354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2025-02-05 00:00:00</w:t>
                  </w:r>
                </w:p>
              </w:tc>
              <w:tc>
                <w:tcPr>
                  <w:tcW w:w="352" w:type="pct"/>
                  <w:shd w:val="clear" w:color="auto" w:fill="auto"/>
                  <w:noWrap/>
                  <w:vAlign w:val="center"/>
                </w:tcPr>
                <w:p w14:paraId="592D99B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21.151</w:t>
                  </w:r>
                </w:p>
              </w:tc>
              <w:tc>
                <w:tcPr>
                  <w:tcW w:w="352" w:type="pct"/>
                  <w:shd w:val="clear" w:color="auto" w:fill="auto"/>
                  <w:noWrap/>
                  <w:vAlign w:val="center"/>
                </w:tcPr>
                <w:p w14:paraId="456F246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0.88</w:t>
                  </w:r>
                </w:p>
              </w:tc>
              <w:tc>
                <w:tcPr>
                  <w:tcW w:w="352" w:type="pct"/>
                  <w:shd w:val="clear" w:color="auto" w:fill="auto"/>
                  <w:noWrap/>
                  <w:vAlign w:val="center"/>
                </w:tcPr>
                <w:p w14:paraId="53D34C5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10.997</w:t>
                  </w:r>
                </w:p>
              </w:tc>
              <w:tc>
                <w:tcPr>
                  <w:tcW w:w="352" w:type="pct"/>
                  <w:shd w:val="clear" w:color="auto" w:fill="auto"/>
                  <w:noWrap/>
                  <w:vAlign w:val="center"/>
                </w:tcPr>
                <w:p w14:paraId="6C2595A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5.377</w:t>
                  </w:r>
                </w:p>
              </w:tc>
              <w:tc>
                <w:tcPr>
                  <w:tcW w:w="352" w:type="pct"/>
                  <w:shd w:val="clear" w:color="auto" w:fill="auto"/>
                  <w:noWrap/>
                  <w:vAlign w:val="center"/>
                </w:tcPr>
                <w:p w14:paraId="78EB09E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9.051</w:t>
                  </w:r>
                </w:p>
              </w:tc>
              <w:tc>
                <w:tcPr>
                  <w:tcW w:w="352" w:type="pct"/>
                  <w:shd w:val="clear" w:color="auto" w:fill="auto"/>
                  <w:noWrap/>
                  <w:vAlign w:val="center"/>
                </w:tcPr>
                <w:p w14:paraId="6BE79B7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14.428</w:t>
                  </w:r>
                </w:p>
              </w:tc>
              <w:tc>
                <w:tcPr>
                  <w:tcW w:w="352" w:type="pct"/>
                  <w:shd w:val="clear" w:color="auto" w:fill="auto"/>
                  <w:noWrap/>
                  <w:vAlign w:val="center"/>
                </w:tcPr>
                <w:p w14:paraId="2F44E9A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58.008</w:t>
                  </w:r>
                </w:p>
              </w:tc>
              <w:tc>
                <w:tcPr>
                  <w:tcW w:w="352" w:type="pct"/>
                  <w:shd w:val="clear" w:color="auto" w:fill="auto"/>
                  <w:noWrap/>
                  <w:vAlign w:val="center"/>
                </w:tcPr>
                <w:p w14:paraId="01C433B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46.012</w:t>
                  </w:r>
                </w:p>
              </w:tc>
              <w:tc>
                <w:tcPr>
                  <w:tcW w:w="352" w:type="pct"/>
                  <w:shd w:val="clear" w:color="auto" w:fill="auto"/>
                  <w:noWrap/>
                  <w:vAlign w:val="center"/>
                </w:tcPr>
                <w:p w14:paraId="5EFFAB1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7.113</w:t>
                  </w:r>
                </w:p>
              </w:tc>
              <w:tc>
                <w:tcPr>
                  <w:tcW w:w="352" w:type="pct"/>
                  <w:shd w:val="clear" w:color="auto" w:fill="auto"/>
                  <w:noWrap/>
                  <w:vAlign w:val="center"/>
                </w:tcPr>
                <w:p w14:paraId="1154A95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101.802</w:t>
                  </w:r>
                </w:p>
              </w:tc>
              <w:tc>
                <w:tcPr>
                  <w:tcW w:w="352" w:type="pct"/>
                  <w:shd w:val="clear" w:color="auto" w:fill="auto"/>
                  <w:noWrap/>
                  <w:vAlign w:val="center"/>
                </w:tcPr>
                <w:p w14:paraId="77F160B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88.785</w:t>
                  </w:r>
                </w:p>
              </w:tc>
              <w:tc>
                <w:tcPr>
                  <w:tcW w:w="352" w:type="pct"/>
                  <w:shd w:val="clear" w:color="auto" w:fill="auto"/>
                  <w:noWrap/>
                  <w:vAlign w:val="center"/>
                </w:tcPr>
                <w:p w14:paraId="0218653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1.54</w:t>
                  </w:r>
                </w:p>
              </w:tc>
              <w:tc>
                <w:tcPr>
                  <w:tcW w:w="352" w:type="pct"/>
                  <w:shd w:val="clear" w:color="auto" w:fill="auto"/>
                  <w:noWrap/>
                  <w:vAlign w:val="center"/>
                </w:tcPr>
                <w:p w14:paraId="7CEE9D1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105.109</w:t>
                  </w:r>
                </w:p>
              </w:tc>
            </w:tr>
            <w:tr w14:paraId="6FED1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7D3D02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2025-02-04 00:00:00</w:t>
                  </w:r>
                </w:p>
              </w:tc>
              <w:tc>
                <w:tcPr>
                  <w:tcW w:w="352" w:type="pct"/>
                  <w:shd w:val="clear" w:color="auto" w:fill="auto"/>
                  <w:noWrap/>
                  <w:vAlign w:val="center"/>
                </w:tcPr>
                <w:p w14:paraId="73E664C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35.586</w:t>
                  </w:r>
                </w:p>
              </w:tc>
              <w:tc>
                <w:tcPr>
                  <w:tcW w:w="352" w:type="pct"/>
                  <w:shd w:val="clear" w:color="auto" w:fill="auto"/>
                  <w:noWrap/>
                  <w:vAlign w:val="center"/>
                </w:tcPr>
                <w:p w14:paraId="68B6027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0.892</w:t>
                  </w:r>
                </w:p>
              </w:tc>
              <w:tc>
                <w:tcPr>
                  <w:tcW w:w="352" w:type="pct"/>
                  <w:shd w:val="clear" w:color="auto" w:fill="auto"/>
                  <w:noWrap/>
                  <w:vAlign w:val="center"/>
                </w:tcPr>
                <w:p w14:paraId="298A2C2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5.436</w:t>
                  </w:r>
                </w:p>
              </w:tc>
              <w:tc>
                <w:tcPr>
                  <w:tcW w:w="352" w:type="pct"/>
                  <w:shd w:val="clear" w:color="auto" w:fill="auto"/>
                  <w:noWrap/>
                  <w:vAlign w:val="center"/>
                </w:tcPr>
                <w:p w14:paraId="34CDD87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5.561</w:t>
                  </w:r>
                </w:p>
              </w:tc>
              <w:tc>
                <w:tcPr>
                  <w:tcW w:w="352" w:type="pct"/>
                  <w:shd w:val="clear" w:color="auto" w:fill="auto"/>
                  <w:noWrap/>
                  <w:vAlign w:val="center"/>
                </w:tcPr>
                <w:p w14:paraId="57F5714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8.422</w:t>
                  </w:r>
                </w:p>
              </w:tc>
              <w:tc>
                <w:tcPr>
                  <w:tcW w:w="352" w:type="pct"/>
                  <w:shd w:val="clear" w:color="auto" w:fill="auto"/>
                  <w:noWrap/>
                  <w:vAlign w:val="center"/>
                </w:tcPr>
                <w:p w14:paraId="7E0828F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13.983</w:t>
                  </w:r>
                </w:p>
              </w:tc>
              <w:tc>
                <w:tcPr>
                  <w:tcW w:w="352" w:type="pct"/>
                  <w:shd w:val="clear" w:color="auto" w:fill="auto"/>
                  <w:noWrap/>
                  <w:vAlign w:val="center"/>
                </w:tcPr>
                <w:p w14:paraId="1A18094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47.412</w:t>
                  </w:r>
                </w:p>
              </w:tc>
              <w:tc>
                <w:tcPr>
                  <w:tcW w:w="352" w:type="pct"/>
                  <w:shd w:val="clear" w:color="auto" w:fill="auto"/>
                  <w:noWrap/>
                  <w:vAlign w:val="center"/>
                </w:tcPr>
                <w:p w14:paraId="2728031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33.195</w:t>
                  </w:r>
                </w:p>
              </w:tc>
              <w:tc>
                <w:tcPr>
                  <w:tcW w:w="352" w:type="pct"/>
                  <w:shd w:val="clear" w:color="auto" w:fill="auto"/>
                  <w:noWrap/>
                  <w:vAlign w:val="center"/>
                </w:tcPr>
                <w:p w14:paraId="450C5D1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6.78</w:t>
                  </w:r>
                </w:p>
              </w:tc>
              <w:tc>
                <w:tcPr>
                  <w:tcW w:w="352" w:type="pct"/>
                  <w:shd w:val="clear" w:color="auto" w:fill="auto"/>
                  <w:noWrap/>
                  <w:vAlign w:val="center"/>
                </w:tcPr>
                <w:p w14:paraId="065BB78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102.342</w:t>
                  </w:r>
                </w:p>
              </w:tc>
              <w:tc>
                <w:tcPr>
                  <w:tcW w:w="352" w:type="pct"/>
                  <w:shd w:val="clear" w:color="auto" w:fill="auto"/>
                  <w:noWrap/>
                  <w:vAlign w:val="center"/>
                </w:tcPr>
                <w:p w14:paraId="079CD27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85.27</w:t>
                  </w:r>
                </w:p>
              </w:tc>
              <w:tc>
                <w:tcPr>
                  <w:tcW w:w="352" w:type="pct"/>
                  <w:shd w:val="clear" w:color="auto" w:fill="auto"/>
                  <w:noWrap/>
                  <w:vAlign w:val="center"/>
                </w:tcPr>
                <w:p w14:paraId="26440FC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1.072</w:t>
                  </w:r>
                </w:p>
              </w:tc>
              <w:tc>
                <w:tcPr>
                  <w:tcW w:w="352" w:type="pct"/>
                  <w:shd w:val="clear" w:color="auto" w:fill="auto"/>
                  <w:noWrap/>
                  <w:vAlign w:val="center"/>
                </w:tcPr>
                <w:p w14:paraId="1C1F181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268.629</w:t>
                  </w:r>
                </w:p>
              </w:tc>
            </w:tr>
            <w:tr w14:paraId="288B6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76D59B3D">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2025-02-03 00:00:00</w:t>
                  </w:r>
                </w:p>
              </w:tc>
              <w:tc>
                <w:tcPr>
                  <w:tcW w:w="352" w:type="pct"/>
                  <w:shd w:val="clear" w:color="auto" w:fill="auto"/>
                  <w:noWrap/>
                  <w:vAlign w:val="center"/>
                </w:tcPr>
                <w:p w14:paraId="7BB1790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26.287</w:t>
                  </w:r>
                </w:p>
              </w:tc>
              <w:tc>
                <w:tcPr>
                  <w:tcW w:w="352" w:type="pct"/>
                  <w:shd w:val="clear" w:color="auto" w:fill="auto"/>
                  <w:noWrap/>
                  <w:vAlign w:val="center"/>
                </w:tcPr>
                <w:p w14:paraId="627DFEB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0.862</w:t>
                  </w:r>
                </w:p>
              </w:tc>
              <w:tc>
                <w:tcPr>
                  <w:tcW w:w="352" w:type="pct"/>
                  <w:shd w:val="clear" w:color="auto" w:fill="auto"/>
                  <w:noWrap/>
                  <w:vAlign w:val="center"/>
                </w:tcPr>
                <w:p w14:paraId="16A1198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4.278</w:t>
                  </w:r>
                </w:p>
              </w:tc>
              <w:tc>
                <w:tcPr>
                  <w:tcW w:w="352" w:type="pct"/>
                  <w:shd w:val="clear" w:color="auto" w:fill="auto"/>
                  <w:noWrap/>
                  <w:vAlign w:val="center"/>
                </w:tcPr>
                <w:p w14:paraId="3D5D3D9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w:t>
                  </w:r>
                </w:p>
              </w:tc>
              <w:tc>
                <w:tcPr>
                  <w:tcW w:w="352" w:type="pct"/>
                  <w:shd w:val="clear" w:color="auto" w:fill="auto"/>
                  <w:noWrap/>
                  <w:vAlign w:val="center"/>
                </w:tcPr>
                <w:p w14:paraId="3D1092C3">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5.187</w:t>
                  </w:r>
                </w:p>
              </w:tc>
              <w:tc>
                <w:tcPr>
                  <w:tcW w:w="352" w:type="pct"/>
                  <w:shd w:val="clear" w:color="auto" w:fill="auto"/>
                  <w:noWrap/>
                  <w:vAlign w:val="center"/>
                </w:tcPr>
                <w:p w14:paraId="3FDB129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8.686</w:t>
                  </w:r>
                </w:p>
              </w:tc>
              <w:tc>
                <w:tcPr>
                  <w:tcW w:w="352" w:type="pct"/>
                  <w:shd w:val="clear" w:color="auto" w:fill="auto"/>
                  <w:noWrap/>
                  <w:vAlign w:val="center"/>
                </w:tcPr>
                <w:p w14:paraId="52640257">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55.809</w:t>
                  </w:r>
                </w:p>
              </w:tc>
              <w:tc>
                <w:tcPr>
                  <w:tcW w:w="352" w:type="pct"/>
                  <w:shd w:val="clear" w:color="auto" w:fill="auto"/>
                  <w:noWrap/>
                  <w:vAlign w:val="center"/>
                </w:tcPr>
                <w:p w14:paraId="61BAB04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48.386</w:t>
                  </w:r>
                </w:p>
              </w:tc>
              <w:tc>
                <w:tcPr>
                  <w:tcW w:w="352" w:type="pct"/>
                  <w:shd w:val="clear" w:color="auto" w:fill="auto"/>
                  <w:noWrap/>
                  <w:vAlign w:val="center"/>
                </w:tcPr>
                <w:p w14:paraId="52086FA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6.548</w:t>
                  </w:r>
                </w:p>
              </w:tc>
              <w:tc>
                <w:tcPr>
                  <w:tcW w:w="352" w:type="pct"/>
                  <w:shd w:val="clear" w:color="auto" w:fill="auto"/>
                  <w:noWrap/>
                  <w:vAlign w:val="center"/>
                </w:tcPr>
                <w:p w14:paraId="28AF27F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102.498</w:t>
                  </w:r>
                </w:p>
              </w:tc>
              <w:tc>
                <w:tcPr>
                  <w:tcW w:w="352" w:type="pct"/>
                  <w:shd w:val="clear" w:color="auto" w:fill="auto"/>
                  <w:noWrap/>
                  <w:vAlign w:val="center"/>
                </w:tcPr>
                <w:p w14:paraId="629C01B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91.775</w:t>
                  </w:r>
                </w:p>
              </w:tc>
              <w:tc>
                <w:tcPr>
                  <w:tcW w:w="352" w:type="pct"/>
                  <w:shd w:val="clear" w:color="auto" w:fill="auto"/>
                  <w:noWrap/>
                  <w:vAlign w:val="center"/>
                </w:tcPr>
                <w:p w14:paraId="15FAE06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2.937</w:t>
                  </w:r>
                </w:p>
              </w:tc>
              <w:tc>
                <w:tcPr>
                  <w:tcW w:w="352" w:type="pct"/>
                  <w:shd w:val="clear" w:color="auto" w:fill="auto"/>
                  <w:noWrap/>
                  <w:vAlign w:val="center"/>
                </w:tcPr>
                <w:p w14:paraId="547F090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93.193</w:t>
                  </w:r>
                </w:p>
              </w:tc>
            </w:tr>
            <w:tr w14:paraId="5EBCF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0833D17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2025-02-02 00:00:00</w:t>
                  </w:r>
                </w:p>
              </w:tc>
              <w:tc>
                <w:tcPr>
                  <w:tcW w:w="352" w:type="pct"/>
                  <w:shd w:val="clear" w:color="auto" w:fill="auto"/>
                  <w:noWrap/>
                  <w:vAlign w:val="center"/>
                </w:tcPr>
                <w:p w14:paraId="46F74860">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15.317</w:t>
                  </w:r>
                </w:p>
              </w:tc>
              <w:tc>
                <w:tcPr>
                  <w:tcW w:w="352" w:type="pct"/>
                  <w:shd w:val="clear" w:color="auto" w:fill="auto"/>
                  <w:noWrap/>
                  <w:vAlign w:val="center"/>
                </w:tcPr>
                <w:p w14:paraId="17A060A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0.842</w:t>
                  </w:r>
                </w:p>
              </w:tc>
              <w:tc>
                <w:tcPr>
                  <w:tcW w:w="352" w:type="pct"/>
                  <w:shd w:val="clear" w:color="auto" w:fill="auto"/>
                  <w:noWrap/>
                  <w:vAlign w:val="center"/>
                </w:tcPr>
                <w:p w14:paraId="7EA9592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3.795</w:t>
                  </w:r>
                </w:p>
              </w:tc>
              <w:tc>
                <w:tcPr>
                  <w:tcW w:w="352" w:type="pct"/>
                  <w:shd w:val="clear" w:color="auto" w:fill="auto"/>
                  <w:noWrap/>
                  <w:vAlign w:val="center"/>
                </w:tcPr>
                <w:p w14:paraId="41CD657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3.595</w:t>
                  </w:r>
                </w:p>
              </w:tc>
              <w:tc>
                <w:tcPr>
                  <w:tcW w:w="352" w:type="pct"/>
                  <w:shd w:val="clear" w:color="auto" w:fill="auto"/>
                  <w:noWrap/>
                  <w:vAlign w:val="center"/>
                </w:tcPr>
                <w:p w14:paraId="7FBA404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4.8</w:t>
                  </w:r>
                </w:p>
              </w:tc>
              <w:tc>
                <w:tcPr>
                  <w:tcW w:w="352" w:type="pct"/>
                  <w:shd w:val="clear" w:color="auto" w:fill="auto"/>
                  <w:noWrap/>
                  <w:vAlign w:val="center"/>
                </w:tcPr>
                <w:p w14:paraId="27419B0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8.395</w:t>
                  </w:r>
                </w:p>
              </w:tc>
              <w:tc>
                <w:tcPr>
                  <w:tcW w:w="352" w:type="pct"/>
                  <w:shd w:val="clear" w:color="auto" w:fill="auto"/>
                  <w:noWrap/>
                  <w:vAlign w:val="center"/>
                </w:tcPr>
                <w:p w14:paraId="1AE5E38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26.39</w:t>
                  </w:r>
                </w:p>
              </w:tc>
              <w:tc>
                <w:tcPr>
                  <w:tcW w:w="352" w:type="pct"/>
                  <w:shd w:val="clear" w:color="auto" w:fill="auto"/>
                  <w:noWrap/>
                  <w:vAlign w:val="center"/>
                </w:tcPr>
                <w:p w14:paraId="005615B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20.414</w:t>
                  </w:r>
                </w:p>
              </w:tc>
              <w:tc>
                <w:tcPr>
                  <w:tcW w:w="352" w:type="pct"/>
                  <w:shd w:val="clear" w:color="auto" w:fill="auto"/>
                  <w:noWrap/>
                  <w:vAlign w:val="center"/>
                </w:tcPr>
                <w:p w14:paraId="018C1AB9">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4.68</w:t>
                  </w:r>
                </w:p>
              </w:tc>
              <w:tc>
                <w:tcPr>
                  <w:tcW w:w="352" w:type="pct"/>
                  <w:shd w:val="clear" w:color="auto" w:fill="auto"/>
                  <w:noWrap/>
                  <w:vAlign w:val="center"/>
                </w:tcPr>
                <w:p w14:paraId="76E9EDBE">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101.783</w:t>
                  </w:r>
                </w:p>
              </w:tc>
              <w:tc>
                <w:tcPr>
                  <w:tcW w:w="352" w:type="pct"/>
                  <w:shd w:val="clear" w:color="auto" w:fill="auto"/>
                  <w:noWrap/>
                  <w:vAlign w:val="center"/>
                </w:tcPr>
                <w:p w14:paraId="075285A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95.951</w:t>
                  </w:r>
                </w:p>
              </w:tc>
              <w:tc>
                <w:tcPr>
                  <w:tcW w:w="352" w:type="pct"/>
                  <w:shd w:val="clear" w:color="auto" w:fill="auto"/>
                  <w:noWrap/>
                  <w:vAlign w:val="center"/>
                </w:tcPr>
                <w:p w14:paraId="03DD241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3.483</w:t>
                  </w:r>
                </w:p>
              </w:tc>
              <w:tc>
                <w:tcPr>
                  <w:tcW w:w="352" w:type="pct"/>
                  <w:shd w:val="clear" w:color="auto" w:fill="auto"/>
                  <w:noWrap/>
                  <w:vAlign w:val="center"/>
                </w:tcPr>
                <w:p w14:paraId="55BD6AF4">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95.786</w:t>
                  </w:r>
                </w:p>
              </w:tc>
            </w:tr>
            <w:tr w14:paraId="5AA64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126129FF">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2025-02-01 00:00:00</w:t>
                  </w:r>
                </w:p>
              </w:tc>
              <w:tc>
                <w:tcPr>
                  <w:tcW w:w="352" w:type="pct"/>
                  <w:shd w:val="clear" w:color="auto" w:fill="auto"/>
                  <w:noWrap/>
                  <w:vAlign w:val="center"/>
                </w:tcPr>
                <w:p w14:paraId="3494C4E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15.121</w:t>
                  </w:r>
                </w:p>
              </w:tc>
              <w:tc>
                <w:tcPr>
                  <w:tcW w:w="352" w:type="pct"/>
                  <w:shd w:val="clear" w:color="auto" w:fill="auto"/>
                  <w:noWrap/>
                  <w:vAlign w:val="center"/>
                </w:tcPr>
                <w:p w14:paraId="4A536ECC">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0.954</w:t>
                  </w:r>
                </w:p>
              </w:tc>
              <w:tc>
                <w:tcPr>
                  <w:tcW w:w="352" w:type="pct"/>
                  <w:shd w:val="clear" w:color="auto" w:fill="auto"/>
                  <w:noWrap/>
                  <w:vAlign w:val="center"/>
                </w:tcPr>
                <w:p w14:paraId="7DCE528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3.492</w:t>
                  </w:r>
                </w:p>
              </w:tc>
              <w:tc>
                <w:tcPr>
                  <w:tcW w:w="352" w:type="pct"/>
                  <w:shd w:val="clear" w:color="auto" w:fill="auto"/>
                  <w:noWrap/>
                  <w:vAlign w:val="center"/>
                </w:tcPr>
                <w:p w14:paraId="6F40539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3.601</w:t>
                  </w:r>
                </w:p>
              </w:tc>
              <w:tc>
                <w:tcPr>
                  <w:tcW w:w="352" w:type="pct"/>
                  <w:shd w:val="clear" w:color="auto" w:fill="auto"/>
                  <w:noWrap/>
                  <w:vAlign w:val="center"/>
                </w:tcPr>
                <w:p w14:paraId="11D3A631">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5.407</w:t>
                  </w:r>
                </w:p>
              </w:tc>
              <w:tc>
                <w:tcPr>
                  <w:tcW w:w="352" w:type="pct"/>
                  <w:shd w:val="clear" w:color="auto" w:fill="auto"/>
                  <w:noWrap/>
                  <w:vAlign w:val="center"/>
                </w:tcPr>
                <w:p w14:paraId="7F9B73A6">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9.008</w:t>
                  </w:r>
                </w:p>
              </w:tc>
              <w:tc>
                <w:tcPr>
                  <w:tcW w:w="352" w:type="pct"/>
                  <w:shd w:val="clear" w:color="auto" w:fill="auto"/>
                  <w:noWrap/>
                  <w:vAlign w:val="center"/>
                </w:tcPr>
                <w:p w14:paraId="09B09CF2">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32.461</w:t>
                  </w:r>
                </w:p>
              </w:tc>
              <w:tc>
                <w:tcPr>
                  <w:tcW w:w="352" w:type="pct"/>
                  <w:shd w:val="clear" w:color="auto" w:fill="auto"/>
                  <w:noWrap/>
                  <w:vAlign w:val="center"/>
                </w:tcPr>
                <w:p w14:paraId="5781AA48">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27.194</w:t>
                  </w:r>
                </w:p>
              </w:tc>
              <w:tc>
                <w:tcPr>
                  <w:tcW w:w="352" w:type="pct"/>
                  <w:shd w:val="clear" w:color="auto" w:fill="auto"/>
                  <w:noWrap/>
                  <w:vAlign w:val="center"/>
                </w:tcPr>
                <w:p w14:paraId="246E791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5.306</w:t>
                  </w:r>
                </w:p>
              </w:tc>
              <w:tc>
                <w:tcPr>
                  <w:tcW w:w="352" w:type="pct"/>
                  <w:shd w:val="clear" w:color="auto" w:fill="auto"/>
                  <w:noWrap/>
                  <w:vAlign w:val="center"/>
                </w:tcPr>
                <w:p w14:paraId="3D28B85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101.494</w:t>
                  </w:r>
                </w:p>
              </w:tc>
              <w:tc>
                <w:tcPr>
                  <w:tcW w:w="352" w:type="pct"/>
                  <w:shd w:val="clear" w:color="auto" w:fill="auto"/>
                  <w:noWrap/>
                  <w:vAlign w:val="center"/>
                </w:tcPr>
                <w:p w14:paraId="5E345F35">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97.04</w:t>
                  </w:r>
                </w:p>
              </w:tc>
              <w:tc>
                <w:tcPr>
                  <w:tcW w:w="352" w:type="pct"/>
                  <w:shd w:val="clear" w:color="auto" w:fill="auto"/>
                  <w:noWrap/>
                  <w:vAlign w:val="center"/>
                </w:tcPr>
                <w:p w14:paraId="1A35554A">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4.637</w:t>
                  </w:r>
                </w:p>
              </w:tc>
              <w:tc>
                <w:tcPr>
                  <w:tcW w:w="352" w:type="pct"/>
                  <w:shd w:val="clear" w:color="auto" w:fill="auto"/>
                  <w:noWrap/>
                  <w:vAlign w:val="center"/>
                </w:tcPr>
                <w:p w14:paraId="0B15B3FB">
                  <w:pPr>
                    <w:widowControl/>
                    <w:ind w:left="-105" w:leftChars="-50" w:right="-105" w:rightChars="-50"/>
                    <w:jc w:val="center"/>
                    <w:textAlignment w:val="bottom"/>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92.153</w:t>
                  </w:r>
                </w:p>
              </w:tc>
            </w:tr>
          </w:tbl>
          <w:p w14:paraId="38A09589">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根据上表可知：</w:t>
            </w:r>
            <w:r>
              <w:rPr>
                <w:rFonts w:hint="default" w:ascii="Times New Roman" w:hAnsi="Times New Roman" w:cs="Times New Roman"/>
                <w:bCs/>
                <w:color w:val="000000" w:themeColor="text1"/>
                <w:sz w:val="24"/>
                <w:highlight w:val="none"/>
                <w:u w:val="single"/>
                <w14:textFill>
                  <w14:solidFill>
                    <w14:schemeClr w14:val="tx1"/>
                  </w14:solidFill>
                </w14:textFill>
              </w:rPr>
              <w:t>大浦大气自动监测站</w:t>
            </w:r>
            <w:r>
              <w:rPr>
                <w:rFonts w:hint="default" w:ascii="Times New Roman" w:hAnsi="Times New Roman" w:cs="Times New Roman"/>
                <w:color w:val="000000" w:themeColor="text1"/>
                <w:sz w:val="24"/>
                <w:highlight w:val="none"/>
                <w:u w:val="single"/>
                <w14:textFill>
                  <w14:solidFill>
                    <w14:schemeClr w14:val="tx1"/>
                  </w14:solidFill>
                </w14:textFill>
              </w:rPr>
              <w:t>PM</w:t>
            </w:r>
            <w:r>
              <w:rPr>
                <w:rFonts w:hint="default" w:ascii="Times New Roman" w:hAnsi="Times New Roman" w:cs="Times New Roman"/>
                <w:color w:val="000000" w:themeColor="text1"/>
                <w:sz w:val="24"/>
                <w:highlight w:val="none"/>
                <w:u w:val="single"/>
                <w:vertAlign w:val="subscript"/>
                <w14:textFill>
                  <w14:solidFill>
                    <w14:schemeClr w14:val="tx1"/>
                  </w14:solidFill>
                </w14:textFill>
              </w:rPr>
              <w:t>2.5</w:t>
            </w:r>
            <w:r>
              <w:rPr>
                <w:rFonts w:hint="default" w:ascii="Times New Roman" w:hAnsi="Times New Roman" w:cs="Times New Roman"/>
                <w:color w:val="000000" w:themeColor="text1"/>
                <w:sz w:val="24"/>
                <w:highlight w:val="none"/>
                <w:u w:val="single"/>
                <w14:textFill>
                  <w14:solidFill>
                    <w14:schemeClr w14:val="tx1"/>
                  </w14:solidFill>
                </w14:textFill>
              </w:rPr>
              <w:t>、PM</w:t>
            </w:r>
            <w:r>
              <w:rPr>
                <w:rFonts w:hint="default" w:ascii="Times New Roman" w:hAnsi="Times New Roman" w:cs="Times New Roman"/>
                <w:color w:val="000000" w:themeColor="text1"/>
                <w:sz w:val="24"/>
                <w:highlight w:val="none"/>
                <w:u w:val="single"/>
                <w:vertAlign w:val="subscript"/>
                <w14:textFill>
                  <w14:solidFill>
                    <w14:schemeClr w14:val="tx1"/>
                  </w14:solidFill>
                </w14:textFill>
              </w:rPr>
              <w:t>10</w:t>
            </w:r>
            <w:r>
              <w:rPr>
                <w:rFonts w:hint="default" w:ascii="Times New Roman" w:hAnsi="Times New Roman" w:cs="Times New Roman"/>
                <w:color w:val="000000" w:themeColor="text1"/>
                <w:sz w:val="24"/>
                <w:highlight w:val="none"/>
                <w:u w:val="single"/>
                <w14:textFill>
                  <w14:solidFill>
                    <w14:schemeClr w14:val="tx1"/>
                  </w14:solidFill>
                </w14:textFill>
              </w:rPr>
              <w:t>、SO</w:t>
            </w:r>
            <w:r>
              <w:rPr>
                <w:rFonts w:hint="default" w:ascii="Times New Roman" w:hAnsi="Times New Roman" w:cs="Times New Roman"/>
                <w:color w:val="000000" w:themeColor="text1"/>
                <w:sz w:val="24"/>
                <w:highlight w:val="none"/>
                <w:u w:val="single"/>
                <w:vertAlign w:val="sub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、NO</w:t>
            </w:r>
            <w:r>
              <w:rPr>
                <w:rFonts w:hint="default" w:ascii="Times New Roman" w:hAnsi="Times New Roman" w:cs="Times New Roman"/>
                <w:color w:val="000000" w:themeColor="text1"/>
                <w:sz w:val="24"/>
                <w:highlight w:val="none"/>
                <w:u w:val="single"/>
                <w:vertAlign w:val="sub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、O</w:t>
            </w:r>
            <w:r>
              <w:rPr>
                <w:rFonts w:hint="default" w:ascii="Times New Roman" w:hAnsi="Times New Roman" w:cs="Times New Roman"/>
                <w:color w:val="000000" w:themeColor="text1"/>
                <w:sz w:val="24"/>
                <w:highlight w:val="none"/>
                <w:u w:val="single"/>
                <w:vertAlign w:val="sub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、CO浓度值符合《环境空气质量标准》（GB3095-2012）中二级标准要求。</w:t>
            </w:r>
          </w:p>
          <w:p w14:paraId="03957BB8">
            <w:pPr>
              <w:pStyle w:val="7"/>
              <w:numPr>
                <w:ilvl w:val="0"/>
                <w:numId w:val="0"/>
              </w:numPr>
              <w:tabs>
                <w:tab w:val="clear" w:pos="864"/>
              </w:tabs>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、特征污染物</w:t>
            </w:r>
          </w:p>
          <w:p w14:paraId="18B7F83F">
            <w:pPr>
              <w:pStyle w:val="66"/>
              <w:tabs>
                <w:tab w:val="left" w:pos="1021"/>
              </w:tabs>
              <w:spacing w:after="0"/>
              <w:ind w:left="0" w:leftChars="0"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w:t>
            </w:r>
            <w:r>
              <w:rPr>
                <w:rFonts w:hint="default" w:ascii="Times New Roman" w:hAnsi="Times New Roman" w:cs="Times New Roman"/>
                <w:color w:val="000000" w:themeColor="text1"/>
                <w:szCs w:val="24"/>
                <w:highlight w:val="none"/>
                <w14:textFill>
                  <w14:solidFill>
                    <w14:schemeClr w14:val="tx1"/>
                  </w14:solidFill>
                </w14:textFill>
              </w:rPr>
              <w:t>本项目排放的特征污染因子为</w:t>
            </w:r>
            <w:r>
              <w:rPr>
                <w:rFonts w:hint="default" w:ascii="Times New Roman" w:hAnsi="Times New Roman" w:cs="Times New Roman"/>
                <w:bCs/>
                <w:color w:val="000000" w:themeColor="text1"/>
                <w:szCs w:val="24"/>
                <w:highlight w:val="none"/>
                <w14:textFill>
                  <w14:solidFill>
                    <w14:schemeClr w14:val="tx1"/>
                  </w14:solidFill>
                </w14:textFill>
              </w:rPr>
              <w:t>TVOC、TSP、二甲苯、非甲烷总烃</w:t>
            </w:r>
            <w:r>
              <w:rPr>
                <w:rFonts w:hint="default" w:ascii="Times New Roman" w:hAnsi="Times New Roman" w:cs="Times New Roman"/>
                <w:color w:val="000000" w:themeColor="text1"/>
                <w:szCs w:val="24"/>
                <w:highlight w:val="none"/>
                <w14:textFill>
                  <w14:solidFill>
                    <w14:schemeClr w14:val="tx1"/>
                  </w14:solidFill>
                </w14:textFill>
              </w:rPr>
              <w:t>，为了解本项目所在区域的环境空气质量现状，</w:t>
            </w:r>
            <w:r>
              <w:rPr>
                <w:rFonts w:hint="default" w:ascii="Times New Roman" w:hAnsi="Times New Roman" w:cs="Times New Roman"/>
                <w:bCs/>
                <w:color w:val="000000" w:themeColor="text1"/>
                <w:szCs w:val="24"/>
                <w:highlight w:val="none"/>
                <w14:textFill>
                  <w14:solidFill>
                    <w14:schemeClr w14:val="tx1"/>
                  </w14:solidFill>
                </w14:textFill>
              </w:rPr>
              <w:t>非甲烷总烃、TSP、二甲苯</w:t>
            </w:r>
            <w:r>
              <w:rPr>
                <w:rFonts w:hint="default" w:ascii="Times New Roman" w:hAnsi="Times New Roman" w:cs="Times New Roman"/>
                <w:color w:val="000000" w:themeColor="text1"/>
                <w:szCs w:val="24"/>
                <w:highlight w:val="none"/>
                <w14:textFill>
                  <w14:solidFill>
                    <w14:schemeClr w14:val="tx1"/>
                  </w14:solidFill>
                </w14:textFill>
              </w:rPr>
              <w:t>本次环评引用《衡东军杰机械制造有限公司年产2千套输配电及控制设备用结构件及1万吨通用设备结构件建设项目环境影响报告书》中的数据。监测时间为</w:t>
            </w:r>
            <w:r>
              <w:rPr>
                <w:rFonts w:hint="default" w:ascii="Times New Roman" w:hAnsi="Times New Roman" w:cs="Times New Roman"/>
                <w:color w:val="000000" w:themeColor="text1"/>
                <w:highlight w:val="none"/>
                <w14:textFill>
                  <w14:solidFill>
                    <w14:schemeClr w14:val="tx1"/>
                  </w14:solidFill>
                </w14:textFill>
              </w:rPr>
              <w:t>2024年5月11日~20</w:t>
            </w:r>
            <w:r>
              <w:rPr>
                <w:rFonts w:hint="default" w:ascii="Times New Roman" w:hAnsi="Times New Roman" w:cs="Times New Roman"/>
                <w:color w:val="000000" w:themeColor="text1"/>
                <w:szCs w:val="24"/>
                <w:highlight w:val="none"/>
                <w14:textFill>
                  <w14:solidFill>
                    <w14:schemeClr w14:val="tx1"/>
                  </w14:solidFill>
                </w14:textFill>
              </w:rPr>
              <w:t>24年5月17日或18日</w:t>
            </w:r>
            <w:r>
              <w:rPr>
                <w:rFonts w:hint="default" w:ascii="Times New Roman" w:hAnsi="Times New Roman" w:cs="Times New Roman"/>
                <w:color w:val="000000" w:themeColor="text1"/>
                <w:szCs w:val="24"/>
                <w:highlight w:val="none"/>
                <w14:textFill>
                  <w14:solidFill>
                    <w14:schemeClr w14:val="tx1"/>
                  </w14:solidFill>
                </w14:textFill>
              </w:rPr>
              <w:t>，</w:t>
            </w:r>
            <w:r>
              <w:rPr>
                <w:rFonts w:hint="default" w:ascii="Times New Roman" w:hAnsi="Times New Roman" w:cs="Times New Roman"/>
                <w:bCs/>
                <w:color w:val="000000" w:themeColor="text1"/>
                <w:szCs w:val="24"/>
                <w:highlight w:val="none"/>
                <w14:textFill>
                  <w14:solidFill>
                    <w14:schemeClr w14:val="tx1"/>
                  </w14:solidFill>
                </w14:textFill>
              </w:rPr>
              <w:t>引用检测点位为“G1军杰</w:t>
            </w:r>
            <w:r>
              <w:rPr>
                <w:rFonts w:hint="default" w:ascii="Times New Roman" w:hAnsi="Times New Roman" w:cs="Times New Roman"/>
                <w:color w:val="000000" w:themeColor="text1"/>
                <w:kern w:val="2"/>
                <w:szCs w:val="24"/>
                <w:highlight w:val="none"/>
                <w14:textFill>
                  <w14:solidFill>
                    <w14:schemeClr w14:val="tx1"/>
                  </w14:solidFill>
                </w14:textFill>
              </w:rPr>
              <w:t>厂址西南侧长岭村</w:t>
            </w:r>
            <w:r>
              <w:rPr>
                <w:rFonts w:hint="default" w:ascii="Times New Roman" w:hAnsi="Times New Roman" w:cs="Times New Roman"/>
                <w:bCs/>
                <w:color w:val="000000" w:themeColor="text1"/>
                <w:szCs w:val="24"/>
                <w:highlight w:val="none"/>
                <w14:textFill>
                  <w14:solidFill>
                    <w14:schemeClr w14:val="tx1"/>
                  </w14:solidFill>
                </w14:textFill>
              </w:rPr>
              <w:t>”，该点位分别位于本项目厂界西南侧205m；</w:t>
            </w:r>
          </w:p>
          <w:p w14:paraId="64BB376A">
            <w:pPr>
              <w:pStyle w:val="66"/>
              <w:tabs>
                <w:tab w:val="left" w:pos="1021"/>
              </w:tabs>
              <w:spacing w:after="0"/>
              <w:ind w:left="0" w:leftChars="0" w:firstLine="480"/>
              <w:rPr>
                <w:rFonts w:hint="default" w:ascii="Times New Roman" w:hAnsi="Times New Roman" w:cs="Times New Roman"/>
                <w:bCs/>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总挥发性有机物（TVOC）引用</w:t>
            </w:r>
            <w:r>
              <w:rPr>
                <w:rFonts w:hint="default" w:ascii="Times New Roman" w:hAnsi="Times New Roman" w:cs="Times New Roman"/>
                <w:color w:val="000000" w:themeColor="text1"/>
                <w:szCs w:val="24"/>
                <w:highlight w:val="none"/>
                <w:lang w:bidi="ar"/>
                <w14:textFill>
                  <w14:solidFill>
                    <w14:schemeClr w14:val="tx1"/>
                  </w14:solidFill>
                </w14:textFill>
              </w:rPr>
              <w:t>衡东经济开发区于 2022 年11 月7~13日委托托湖南林晟环境检测有限公司对衡东经济开发区环境进行的监测，其中监测点位分别位于项目侧风向约2.7km处的大浦中学（经纬度：112.7823，26.99694），下风向约4.1km处的楠木塘（经纬度：112.7734，26.98046）</w:t>
            </w:r>
          </w:p>
          <w:p w14:paraId="7D49D5FD">
            <w:pPr>
              <w:pStyle w:val="66"/>
              <w:tabs>
                <w:tab w:val="left" w:pos="1021"/>
              </w:tabs>
              <w:spacing w:after="0"/>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引用点位检测时间未超过3年，位于本项目周边5km范围内，</w:t>
            </w:r>
            <w:r>
              <w:rPr>
                <w:rFonts w:hint="default" w:ascii="Times New Roman" w:hAnsi="Times New Roman" w:cs="Times New Roman"/>
                <w:color w:val="000000" w:themeColor="text1"/>
                <w:szCs w:val="24"/>
                <w:highlight w:val="none"/>
                <w:lang w:bidi="ar"/>
                <w14:textFill>
                  <w14:solidFill>
                    <w14:schemeClr w14:val="tx1"/>
                  </w14:solidFill>
                </w14:textFill>
              </w:rPr>
              <w:t>监测时间在3年的有效期内，</w:t>
            </w:r>
            <w:r>
              <w:rPr>
                <w:rFonts w:hint="default" w:ascii="Times New Roman" w:hAnsi="Times New Roman" w:cs="Times New Roman"/>
                <w:color w:val="000000" w:themeColor="text1"/>
                <w:szCs w:val="24"/>
                <w:highlight w:val="none"/>
                <w14:textFill>
                  <w14:solidFill>
                    <w14:schemeClr w14:val="tx1"/>
                  </w14:solidFill>
                </w14:textFill>
              </w:rPr>
              <w:t>区域污染结构未发生明显改变，项目区域自然及社会环境未发生重大变化，因此，引用数据可以代表区域环境空气状况。</w:t>
            </w:r>
          </w:p>
          <w:p w14:paraId="14A34E1D">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环境空气监测结果详见表3-</w:t>
            </w:r>
            <w:r>
              <w:rPr>
                <w:rFonts w:hint="default" w:ascii="Times New Roman" w:hAnsi="Times New Roman" w:cs="Times New Roman"/>
                <w:color w:val="000000" w:themeColor="text1"/>
                <w:szCs w:val="24"/>
                <w:highlight w:val="none"/>
                <w14:textFill>
                  <w14:solidFill>
                    <w14:schemeClr w14:val="tx1"/>
                  </w14:solidFill>
                </w14:textFill>
              </w:rPr>
              <w:t>3</w:t>
            </w:r>
            <w:r>
              <w:rPr>
                <w:rFonts w:hint="default" w:ascii="Times New Roman" w:hAnsi="Times New Roman" w:cs="Times New Roman"/>
                <w:color w:val="000000" w:themeColor="text1"/>
                <w:szCs w:val="24"/>
                <w:highlight w:val="none"/>
                <w14:textFill>
                  <w14:solidFill>
                    <w14:schemeClr w14:val="tx1"/>
                  </w14:solidFill>
                </w14:textFill>
              </w:rPr>
              <w:t>。</w:t>
            </w:r>
          </w:p>
          <w:p w14:paraId="57F8641C">
            <w:pPr>
              <w:pStyle w:val="97"/>
              <w:rPr>
                <w:rFonts w:hint="default" w:ascii="Times New Roman" w:hAnsi="Times New Roman" w:cs="Times New Roman"/>
                <w:color w:val="000000" w:themeColor="text1"/>
                <w:szCs w:val="21"/>
                <w:highlight w:val="none"/>
                <w14:textFill>
                  <w14:solidFill>
                    <w14:schemeClr w14:val="tx1"/>
                  </w14:solidFill>
                </w14:textFill>
              </w:rPr>
            </w:pPr>
          </w:p>
          <w:p w14:paraId="6F255B23">
            <w:pPr>
              <w:pStyle w:val="97"/>
              <w:rPr>
                <w:rFonts w:hint="default" w:ascii="Times New Roman" w:hAnsi="Times New Roman" w:cs="Times New Roman"/>
                <w:color w:val="000000" w:themeColor="text1"/>
                <w:szCs w:val="21"/>
                <w:highlight w:val="none"/>
                <w14:textFill>
                  <w14:solidFill>
                    <w14:schemeClr w14:val="tx1"/>
                  </w14:solidFill>
                </w14:textFill>
              </w:rPr>
            </w:pPr>
          </w:p>
          <w:p w14:paraId="07264D2C">
            <w:pPr>
              <w:pStyle w:val="97"/>
              <w:rPr>
                <w:rFonts w:hint="default" w:ascii="Times New Roman" w:hAnsi="Times New Roman" w:cs="Times New Roman"/>
                <w:color w:val="000000" w:themeColor="text1"/>
                <w:szCs w:val="21"/>
                <w:highlight w:val="none"/>
                <w14:textFill>
                  <w14:solidFill>
                    <w14:schemeClr w14:val="tx1"/>
                  </w14:solidFill>
                </w14:textFill>
              </w:rPr>
            </w:pPr>
          </w:p>
          <w:p w14:paraId="636B4369">
            <w:pPr>
              <w:pStyle w:val="97"/>
              <w:rPr>
                <w:rFonts w:hint="default" w:ascii="Times New Roman" w:hAnsi="Times New Roman" w:cs="Times New Roman"/>
                <w:color w:val="000000" w:themeColor="text1"/>
                <w:szCs w:val="21"/>
                <w:highlight w:val="none"/>
                <w14:textFill>
                  <w14:solidFill>
                    <w14:schemeClr w14:val="tx1"/>
                  </w14:solidFill>
                </w14:textFill>
              </w:rPr>
            </w:pPr>
          </w:p>
          <w:p w14:paraId="2505F65A">
            <w:pPr>
              <w:pStyle w:val="97"/>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表3-</w:t>
            </w:r>
            <w:r>
              <w:rPr>
                <w:rFonts w:hint="default" w:ascii="Times New Roman" w:hAnsi="Times New Roman" w:cs="Times New Roman"/>
                <w:color w:val="000000" w:themeColor="text1"/>
                <w:szCs w:val="21"/>
                <w:highlight w:val="none"/>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 xml:space="preserve">  项目环境空气质量现状监测统计结果一览表   单位：mg/m</w:t>
            </w:r>
            <w:r>
              <w:rPr>
                <w:rFonts w:hint="default" w:ascii="Times New Roman" w:hAnsi="Times New Roman" w:cs="Times New Roman"/>
                <w:color w:val="000000" w:themeColor="text1"/>
                <w:szCs w:val="21"/>
                <w:highlight w:val="none"/>
                <w:vertAlign w:val="superscript"/>
                <w14:textFill>
                  <w14:solidFill>
                    <w14:schemeClr w14:val="tx1"/>
                  </w14:solidFill>
                </w14:textFill>
              </w:rPr>
              <w:t>3</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891"/>
              <w:gridCol w:w="999"/>
              <w:gridCol w:w="1447"/>
              <w:gridCol w:w="799"/>
              <w:gridCol w:w="651"/>
              <w:gridCol w:w="813"/>
              <w:gridCol w:w="825"/>
              <w:gridCol w:w="825"/>
            </w:tblGrid>
            <w:tr w14:paraId="544AB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blHeader/>
                <w:jc w:val="center"/>
              </w:trPr>
              <w:tc>
                <w:tcPr>
                  <w:tcW w:w="445" w:type="pct"/>
                  <w:vAlign w:val="center"/>
                </w:tcPr>
                <w:p w14:paraId="70C8A10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检测地点</w:t>
                  </w:r>
                </w:p>
              </w:tc>
              <w:tc>
                <w:tcPr>
                  <w:tcW w:w="1185" w:type="pct"/>
                  <w:gridSpan w:val="2"/>
                  <w:vAlign w:val="center"/>
                </w:tcPr>
                <w:p w14:paraId="5BD75F11">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检测项目</w:t>
                  </w:r>
                </w:p>
              </w:tc>
              <w:tc>
                <w:tcPr>
                  <w:tcW w:w="908" w:type="pct"/>
                  <w:vAlign w:val="center"/>
                </w:tcPr>
                <w:p w14:paraId="7066E604">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监测结果</w:t>
                  </w:r>
                </w:p>
              </w:tc>
              <w:tc>
                <w:tcPr>
                  <w:tcW w:w="502" w:type="pct"/>
                  <w:vAlign w:val="center"/>
                </w:tcPr>
                <w:p w14:paraId="3693154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平均值</w:t>
                  </w:r>
                </w:p>
              </w:tc>
              <w:tc>
                <w:tcPr>
                  <w:tcW w:w="409" w:type="pct"/>
                  <w:vAlign w:val="center"/>
                </w:tcPr>
                <w:p w14:paraId="43A4E98A">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超标率</w:t>
                  </w:r>
                </w:p>
              </w:tc>
              <w:tc>
                <w:tcPr>
                  <w:tcW w:w="511" w:type="pct"/>
                  <w:vAlign w:val="center"/>
                </w:tcPr>
                <w:p w14:paraId="28A0205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超标倍数</w:t>
                  </w:r>
                </w:p>
              </w:tc>
              <w:tc>
                <w:tcPr>
                  <w:tcW w:w="518" w:type="pct"/>
                  <w:vAlign w:val="center"/>
                </w:tcPr>
                <w:p w14:paraId="220453F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标准限值</w:t>
                  </w:r>
                </w:p>
              </w:tc>
              <w:tc>
                <w:tcPr>
                  <w:tcW w:w="518" w:type="pct"/>
                  <w:vAlign w:val="center"/>
                </w:tcPr>
                <w:p w14:paraId="1B16C9DC">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是否达标</w:t>
                  </w:r>
                </w:p>
              </w:tc>
            </w:tr>
            <w:tr w14:paraId="1ED5A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5" w:type="pct"/>
                  <w:vMerge w:val="restart"/>
                  <w:vAlign w:val="center"/>
                </w:tcPr>
                <w:p w14:paraId="50A3079F">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G1</w:t>
                  </w:r>
                </w:p>
                <w:p w14:paraId="19684857">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军杰厂址西南侧长岭村</w:t>
                  </w:r>
                </w:p>
              </w:tc>
              <w:tc>
                <w:tcPr>
                  <w:tcW w:w="559" w:type="pct"/>
                  <w:vAlign w:val="center"/>
                </w:tcPr>
                <w:p w14:paraId="50ABE275">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非甲烷总烃</w:t>
                  </w:r>
                </w:p>
              </w:tc>
              <w:tc>
                <w:tcPr>
                  <w:tcW w:w="625" w:type="pct"/>
                  <w:vAlign w:val="center"/>
                </w:tcPr>
                <w:p w14:paraId="6D1B8CD3">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1h均值</w:t>
                  </w:r>
                </w:p>
              </w:tc>
              <w:tc>
                <w:tcPr>
                  <w:tcW w:w="908" w:type="pct"/>
                  <w:vAlign w:val="center"/>
                </w:tcPr>
                <w:p w14:paraId="54F6713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0.39~0.44</w:t>
                  </w:r>
                </w:p>
              </w:tc>
              <w:tc>
                <w:tcPr>
                  <w:tcW w:w="502" w:type="pct"/>
                  <w:vAlign w:val="center"/>
                </w:tcPr>
                <w:p w14:paraId="0D612611">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0.41</w:t>
                  </w:r>
                </w:p>
              </w:tc>
              <w:tc>
                <w:tcPr>
                  <w:tcW w:w="409" w:type="pct"/>
                  <w:vAlign w:val="center"/>
                </w:tcPr>
                <w:p w14:paraId="62FE15AB">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1" w:type="pct"/>
                  <w:vAlign w:val="center"/>
                </w:tcPr>
                <w:p w14:paraId="4892238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8" w:type="pct"/>
                  <w:vAlign w:val="center"/>
                </w:tcPr>
                <w:p w14:paraId="2968D24C">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2.0</w:t>
                  </w:r>
                </w:p>
              </w:tc>
              <w:tc>
                <w:tcPr>
                  <w:tcW w:w="518" w:type="pct"/>
                  <w:vAlign w:val="center"/>
                </w:tcPr>
                <w:p w14:paraId="35587D8F">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达标</w:t>
                  </w:r>
                </w:p>
              </w:tc>
            </w:tr>
            <w:tr w14:paraId="4ADA3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5" w:type="pct"/>
                  <w:vMerge w:val="continue"/>
                  <w:vAlign w:val="center"/>
                </w:tcPr>
                <w:p w14:paraId="05D5339A">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p>
              </w:tc>
              <w:tc>
                <w:tcPr>
                  <w:tcW w:w="559" w:type="pct"/>
                  <w:vAlign w:val="center"/>
                </w:tcPr>
                <w:p w14:paraId="5F295E14">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二甲苯</w:t>
                  </w:r>
                </w:p>
              </w:tc>
              <w:tc>
                <w:tcPr>
                  <w:tcW w:w="625" w:type="pct"/>
                  <w:vAlign w:val="center"/>
                </w:tcPr>
                <w:p w14:paraId="510B1BE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1h均值</w:t>
                  </w:r>
                </w:p>
              </w:tc>
              <w:tc>
                <w:tcPr>
                  <w:tcW w:w="908" w:type="pct"/>
                  <w:vAlign w:val="center"/>
                </w:tcPr>
                <w:p w14:paraId="32394ED2">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ND</w:t>
                  </w:r>
                </w:p>
              </w:tc>
              <w:tc>
                <w:tcPr>
                  <w:tcW w:w="502" w:type="pct"/>
                  <w:vAlign w:val="center"/>
                </w:tcPr>
                <w:p w14:paraId="5B919E16">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ND</w:t>
                  </w:r>
                </w:p>
              </w:tc>
              <w:tc>
                <w:tcPr>
                  <w:tcW w:w="409" w:type="pct"/>
                  <w:vAlign w:val="center"/>
                </w:tcPr>
                <w:p w14:paraId="7C6A9CF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1" w:type="pct"/>
                  <w:vAlign w:val="center"/>
                </w:tcPr>
                <w:p w14:paraId="21157E7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8" w:type="pct"/>
                  <w:vAlign w:val="center"/>
                </w:tcPr>
                <w:p w14:paraId="50A05126">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0.2</w:t>
                  </w:r>
                </w:p>
              </w:tc>
              <w:tc>
                <w:tcPr>
                  <w:tcW w:w="518" w:type="pct"/>
                  <w:vAlign w:val="center"/>
                </w:tcPr>
                <w:p w14:paraId="3155FD11">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达标</w:t>
                  </w:r>
                </w:p>
              </w:tc>
            </w:tr>
            <w:tr w14:paraId="07290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5" w:type="pct"/>
                  <w:vMerge w:val="continue"/>
                  <w:vAlign w:val="center"/>
                </w:tcPr>
                <w:p w14:paraId="313BFEFA">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p>
              </w:tc>
              <w:tc>
                <w:tcPr>
                  <w:tcW w:w="559" w:type="pct"/>
                  <w:vAlign w:val="center"/>
                </w:tcPr>
                <w:p w14:paraId="65B17AC9">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TSP</w:t>
                  </w:r>
                </w:p>
              </w:tc>
              <w:tc>
                <w:tcPr>
                  <w:tcW w:w="625" w:type="pct"/>
                  <w:vAlign w:val="center"/>
                </w:tcPr>
                <w:p w14:paraId="64C0532C">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24h均值</w:t>
                  </w:r>
                </w:p>
              </w:tc>
              <w:tc>
                <w:tcPr>
                  <w:tcW w:w="908" w:type="pct"/>
                  <w:vAlign w:val="center"/>
                </w:tcPr>
                <w:p w14:paraId="4143BD3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0.113~0.179</w:t>
                  </w:r>
                </w:p>
              </w:tc>
              <w:tc>
                <w:tcPr>
                  <w:tcW w:w="502" w:type="pct"/>
                  <w:vAlign w:val="center"/>
                </w:tcPr>
                <w:p w14:paraId="5EBFA978">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0.143</w:t>
                  </w:r>
                </w:p>
              </w:tc>
              <w:tc>
                <w:tcPr>
                  <w:tcW w:w="409" w:type="pct"/>
                  <w:vAlign w:val="center"/>
                </w:tcPr>
                <w:p w14:paraId="79D55867">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1" w:type="pct"/>
                  <w:vAlign w:val="center"/>
                </w:tcPr>
                <w:p w14:paraId="08AD5245">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8" w:type="pct"/>
                  <w:vAlign w:val="center"/>
                </w:tcPr>
                <w:p w14:paraId="7C39D570">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0.3</w:t>
                  </w:r>
                </w:p>
              </w:tc>
              <w:tc>
                <w:tcPr>
                  <w:tcW w:w="518" w:type="pct"/>
                  <w:vAlign w:val="center"/>
                </w:tcPr>
                <w:p w14:paraId="51BE289E">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达标</w:t>
                  </w:r>
                </w:p>
              </w:tc>
            </w:tr>
            <w:tr w14:paraId="45E9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5" w:type="pct"/>
                  <w:vAlign w:val="center"/>
                </w:tcPr>
                <w:p w14:paraId="4B857C7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G2大浦中学</w:t>
                  </w:r>
                </w:p>
              </w:tc>
              <w:tc>
                <w:tcPr>
                  <w:tcW w:w="559" w:type="pct"/>
                  <w:vAlign w:val="center"/>
                </w:tcPr>
                <w:p w14:paraId="5B05AD63">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TVOC</w:t>
                  </w:r>
                </w:p>
              </w:tc>
              <w:tc>
                <w:tcPr>
                  <w:tcW w:w="625" w:type="pct"/>
                  <w:vAlign w:val="center"/>
                </w:tcPr>
                <w:p w14:paraId="03D990FA">
                  <w:pPr>
                    <w:pStyle w:val="58"/>
                    <w:spacing w:beforeLines="0" w:afterLines="0" w:line="240" w:lineRule="auto"/>
                    <w:rPr>
                      <w:rFonts w:hint="default" w:ascii="Times New Roman" w:hAnsi="Times New Roman" w:cs="Times New Roman"/>
                      <w:color w:val="000000" w:themeColor="text1"/>
                      <w:kern w:val="2"/>
                      <w:szCs w:val="21"/>
                      <w:highlight w:val="none"/>
                      <w:lang w:bidi="zh-CN"/>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8h均值</w:t>
                  </w:r>
                </w:p>
              </w:tc>
              <w:tc>
                <w:tcPr>
                  <w:tcW w:w="908" w:type="pct"/>
                  <w:vAlign w:val="center"/>
                </w:tcPr>
                <w:p w14:paraId="4C9B6A69">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0.0091~0.0096</w:t>
                  </w:r>
                </w:p>
              </w:tc>
              <w:tc>
                <w:tcPr>
                  <w:tcW w:w="502" w:type="pct"/>
                  <w:vAlign w:val="center"/>
                </w:tcPr>
                <w:p w14:paraId="014E22B4">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0.0094</w:t>
                  </w:r>
                </w:p>
              </w:tc>
              <w:tc>
                <w:tcPr>
                  <w:tcW w:w="409" w:type="pct"/>
                  <w:vAlign w:val="center"/>
                </w:tcPr>
                <w:p w14:paraId="2D95FDBA">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1" w:type="pct"/>
                  <w:vAlign w:val="center"/>
                </w:tcPr>
                <w:p w14:paraId="6E339419">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8" w:type="pct"/>
                  <w:vAlign w:val="center"/>
                </w:tcPr>
                <w:p w14:paraId="4BC56C05">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0.6</w:t>
                  </w:r>
                </w:p>
              </w:tc>
              <w:tc>
                <w:tcPr>
                  <w:tcW w:w="518" w:type="pct"/>
                  <w:vAlign w:val="center"/>
                </w:tcPr>
                <w:p w14:paraId="6FCDD175">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达标</w:t>
                  </w:r>
                </w:p>
              </w:tc>
            </w:tr>
            <w:tr w14:paraId="7611E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5" w:type="pct"/>
                  <w:vAlign w:val="center"/>
                </w:tcPr>
                <w:p w14:paraId="261F2C0E">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szCs w:val="21"/>
                      <w:highlight w:val="none"/>
                      <w:lang w:bidi="ar"/>
                      <w14:textFill>
                        <w14:solidFill>
                          <w14:schemeClr w14:val="tx1"/>
                        </w14:solidFill>
                      </w14:textFill>
                    </w:rPr>
                    <w:t>G3楠木塘</w:t>
                  </w:r>
                </w:p>
              </w:tc>
              <w:tc>
                <w:tcPr>
                  <w:tcW w:w="559" w:type="pct"/>
                  <w:vAlign w:val="center"/>
                </w:tcPr>
                <w:p w14:paraId="14E9DC45">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TVOC</w:t>
                  </w:r>
                </w:p>
              </w:tc>
              <w:tc>
                <w:tcPr>
                  <w:tcW w:w="625" w:type="pct"/>
                  <w:vAlign w:val="center"/>
                </w:tcPr>
                <w:p w14:paraId="6AB40BF8">
                  <w:pPr>
                    <w:pStyle w:val="58"/>
                    <w:spacing w:beforeLines="0" w:afterLines="0" w:line="240" w:lineRule="auto"/>
                    <w:rPr>
                      <w:rFonts w:hint="default" w:ascii="Times New Roman" w:hAnsi="Times New Roman" w:cs="Times New Roman"/>
                      <w:color w:val="000000" w:themeColor="text1"/>
                      <w:kern w:val="2"/>
                      <w:szCs w:val="21"/>
                      <w:highlight w:val="none"/>
                      <w:lang w:bidi="zh-CN"/>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8h均值</w:t>
                  </w:r>
                </w:p>
              </w:tc>
              <w:tc>
                <w:tcPr>
                  <w:tcW w:w="908" w:type="pct"/>
                  <w:vAlign w:val="center"/>
                </w:tcPr>
                <w:p w14:paraId="183C1F2F">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0.0095~0.013</w:t>
                  </w:r>
                </w:p>
              </w:tc>
              <w:tc>
                <w:tcPr>
                  <w:tcW w:w="502" w:type="pct"/>
                  <w:vAlign w:val="center"/>
                </w:tcPr>
                <w:p w14:paraId="55850BBD">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0.011</w:t>
                  </w:r>
                </w:p>
              </w:tc>
              <w:tc>
                <w:tcPr>
                  <w:tcW w:w="409" w:type="pct"/>
                  <w:vAlign w:val="center"/>
                </w:tcPr>
                <w:p w14:paraId="6C203E4E">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1" w:type="pct"/>
                  <w:vAlign w:val="center"/>
                </w:tcPr>
                <w:p w14:paraId="2C031EB6">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w:t>
                  </w:r>
                </w:p>
              </w:tc>
              <w:tc>
                <w:tcPr>
                  <w:tcW w:w="518" w:type="pct"/>
                  <w:vAlign w:val="center"/>
                </w:tcPr>
                <w:p w14:paraId="0EBE0702">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0.6</w:t>
                  </w:r>
                </w:p>
              </w:tc>
              <w:tc>
                <w:tcPr>
                  <w:tcW w:w="518" w:type="pct"/>
                  <w:vAlign w:val="center"/>
                </w:tcPr>
                <w:p w14:paraId="2B1F97DE">
                  <w:pPr>
                    <w:pStyle w:val="58"/>
                    <w:spacing w:beforeLines="0" w:afterLines="0"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达标</w:t>
                  </w:r>
                </w:p>
              </w:tc>
            </w:tr>
          </w:tbl>
          <w:p w14:paraId="27A6243A">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根据上表可知，监测期间，项目所在区域大气评价范围内非甲烷总烃的检测浓度能够满足《大气污染物综合排放标准详解》参考限值要求，TVOC、二甲苯的监测浓度均能够满足《环境影响评价技术导则大气环境》（HJ2.2-2018）中附录D其他污染物空气质量浓度参考限值要求，TSP的检测浓度能够满足《环境空气质量标准》（GB3095-2012）及其2018年修改单中的二级标准限值要求；因此，项目所在区域空气质量良好。</w:t>
            </w:r>
          </w:p>
          <w:p w14:paraId="2BC88609">
            <w:pPr>
              <w:spacing w:line="360" w:lineRule="auto"/>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二、地表水环境质量现状</w:t>
            </w:r>
          </w:p>
          <w:p w14:paraId="46CACD41">
            <w:pPr>
              <w:adjustRightInd w:val="0"/>
              <w:snapToGrid w:val="0"/>
              <w:spacing w:line="360" w:lineRule="auto"/>
              <w:ind w:firstLine="482"/>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1、区域达标</w:t>
            </w:r>
          </w:p>
          <w:p w14:paraId="6D31031D">
            <w:pPr>
              <w:adjustRightInd w:val="0"/>
              <w:snapToGrid w:val="0"/>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根据《环境影响评价技术导则 地表水环境》（HJ2.3-2018）6.6.3.2 应优先采用国务院生态环境主管部门统一发布的水环境状况信息，本项目地表水环境质量现状评价依据主要引用</w:t>
            </w:r>
            <w:r>
              <w:rPr>
                <w:rFonts w:hint="default" w:ascii="Times New Roman" w:hAnsi="Times New Roman" w:cs="Times New Roman"/>
                <w:color w:val="000000" w:themeColor="text1"/>
                <w:sz w:val="24"/>
                <w:highlight w:val="none"/>
                <w14:textFill>
                  <w14:solidFill>
                    <w14:schemeClr w14:val="tx1"/>
                  </w14:solidFill>
                </w14:textFill>
              </w:rPr>
              <w:t>衡阳市环境保护局发布的《关于2024年12月及1~12月全市环境质量状况的通报》，湘江设置了2处监测断面，分别为熬洲、朱亭。具体断面地表水水质情况见表3-</w:t>
            </w:r>
            <w:r>
              <w:rPr>
                <w:rFonts w:hint="default" w:ascii="Times New Roman" w:hAnsi="Times New Roman" w:cs="Times New Roman"/>
                <w:color w:val="000000" w:themeColor="text1"/>
                <w:sz w:val="24"/>
                <w:highlight w:val="none"/>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w:t>
            </w:r>
          </w:p>
          <w:p w14:paraId="0C515AD6">
            <w:pPr>
              <w:spacing w:line="360" w:lineRule="auto"/>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表3-</w:t>
            </w:r>
            <w:r>
              <w:rPr>
                <w:rFonts w:hint="default" w:ascii="Times New Roman" w:hAnsi="Times New Roman" w:cs="Times New Roman"/>
                <w:b/>
                <w:bCs/>
                <w:color w:val="000000" w:themeColor="text1"/>
                <w:szCs w:val="21"/>
                <w:highlight w:val="none"/>
                <w14:textFill>
                  <w14:solidFill>
                    <w14:schemeClr w14:val="tx1"/>
                  </w14:solidFill>
                </w14:textFill>
              </w:rPr>
              <w:t>4</w:t>
            </w:r>
            <w:r>
              <w:rPr>
                <w:rFonts w:hint="default" w:ascii="Times New Roman" w:hAnsi="Times New Roman" w:cs="Times New Roman"/>
                <w:b/>
                <w:bCs/>
                <w:color w:val="000000" w:themeColor="text1"/>
                <w:szCs w:val="21"/>
                <w:highlight w:val="none"/>
                <w14:textFill>
                  <w14:solidFill>
                    <w14:schemeClr w14:val="tx1"/>
                  </w14:solidFill>
                </w14:textFill>
              </w:rPr>
              <w:t xml:space="preserve">  2024年1-12月湘江地表水水质情况一览表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9"/>
              <w:gridCol w:w="1011"/>
              <w:gridCol w:w="969"/>
              <w:gridCol w:w="989"/>
              <w:gridCol w:w="948"/>
              <w:gridCol w:w="1241"/>
              <w:gridCol w:w="948"/>
              <w:gridCol w:w="949"/>
            </w:tblGrid>
            <w:tr w14:paraId="03655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570" w:type="pct"/>
                  <w:vMerge w:val="restart"/>
                  <w:vAlign w:val="center"/>
                </w:tcPr>
                <w:p w14:paraId="28167B6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序号</w:t>
                  </w:r>
                </w:p>
              </w:tc>
              <w:tc>
                <w:tcPr>
                  <w:tcW w:w="633" w:type="pct"/>
                  <w:vMerge w:val="restart"/>
                  <w:vAlign w:val="center"/>
                </w:tcPr>
                <w:p w14:paraId="018969C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断面名称</w:t>
                  </w:r>
                </w:p>
              </w:tc>
              <w:tc>
                <w:tcPr>
                  <w:tcW w:w="608" w:type="pct"/>
                  <w:vMerge w:val="restart"/>
                  <w:vAlign w:val="center"/>
                </w:tcPr>
                <w:p w14:paraId="0FABA9B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所在河流</w:t>
                  </w:r>
                </w:p>
              </w:tc>
              <w:tc>
                <w:tcPr>
                  <w:tcW w:w="621" w:type="pct"/>
                  <w:vMerge w:val="restart"/>
                  <w:vAlign w:val="center"/>
                </w:tcPr>
                <w:p w14:paraId="479ADB0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上年同期类别</w:t>
                  </w:r>
                </w:p>
              </w:tc>
              <w:tc>
                <w:tcPr>
                  <w:tcW w:w="1373" w:type="pct"/>
                  <w:gridSpan w:val="2"/>
                  <w:vAlign w:val="center"/>
                </w:tcPr>
                <w:p w14:paraId="1AD2539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2024年1-12月</w:t>
                  </w:r>
                </w:p>
              </w:tc>
              <w:tc>
                <w:tcPr>
                  <w:tcW w:w="595" w:type="pct"/>
                  <w:vMerge w:val="restart"/>
                  <w:vAlign w:val="center"/>
                </w:tcPr>
                <w:p w14:paraId="11DD52C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考核目标</w:t>
                  </w:r>
                </w:p>
              </w:tc>
              <w:tc>
                <w:tcPr>
                  <w:tcW w:w="596" w:type="pct"/>
                  <w:vMerge w:val="restart"/>
                  <w:vAlign w:val="center"/>
                </w:tcPr>
                <w:p w14:paraId="72BE238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是否达标</w:t>
                  </w:r>
                </w:p>
              </w:tc>
            </w:tr>
            <w:tr w14:paraId="0BCD8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570" w:type="pct"/>
                  <w:vMerge w:val="continue"/>
                  <w:vAlign w:val="center"/>
                </w:tcPr>
                <w:p w14:paraId="62A48E9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33" w:type="pct"/>
                  <w:vMerge w:val="continue"/>
                  <w:vAlign w:val="center"/>
                </w:tcPr>
                <w:p w14:paraId="5DFE0F7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08" w:type="pct"/>
                  <w:vMerge w:val="continue"/>
                  <w:vAlign w:val="center"/>
                </w:tcPr>
                <w:p w14:paraId="76A42A4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21" w:type="pct"/>
                  <w:vMerge w:val="continue"/>
                  <w:vAlign w:val="center"/>
                </w:tcPr>
                <w:p w14:paraId="12F80FF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95" w:type="pct"/>
                  <w:vAlign w:val="center"/>
                </w:tcPr>
                <w:p w14:paraId="518A16F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水质类别</w:t>
                  </w:r>
                </w:p>
              </w:tc>
              <w:tc>
                <w:tcPr>
                  <w:tcW w:w="777" w:type="pct"/>
                  <w:vAlign w:val="center"/>
                </w:tcPr>
                <w:p w14:paraId="39A06C4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超Ⅲ类标准的指标</w:t>
                  </w:r>
                </w:p>
              </w:tc>
              <w:tc>
                <w:tcPr>
                  <w:tcW w:w="595" w:type="pct"/>
                  <w:vMerge w:val="continue"/>
                  <w:vAlign w:val="center"/>
                </w:tcPr>
                <w:p w14:paraId="5A65E7FB">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96" w:type="pct"/>
                  <w:vMerge w:val="continue"/>
                  <w:vAlign w:val="center"/>
                </w:tcPr>
                <w:p w14:paraId="12817761">
                  <w:pPr>
                    <w:jc w:val="center"/>
                    <w:rPr>
                      <w:rFonts w:hint="default" w:ascii="Times New Roman" w:hAnsi="Times New Roman" w:cs="Times New Roman"/>
                      <w:color w:val="000000" w:themeColor="text1"/>
                      <w:szCs w:val="21"/>
                      <w:highlight w:val="none"/>
                      <w14:textFill>
                        <w14:solidFill>
                          <w14:schemeClr w14:val="tx1"/>
                        </w14:solidFill>
                      </w14:textFill>
                    </w:rPr>
                  </w:pPr>
                </w:p>
              </w:tc>
            </w:tr>
            <w:tr w14:paraId="6C1B1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0" w:type="pct"/>
                  <w:vAlign w:val="center"/>
                </w:tcPr>
                <w:p w14:paraId="67A6D46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w:t>
                  </w:r>
                </w:p>
              </w:tc>
              <w:tc>
                <w:tcPr>
                  <w:tcW w:w="633" w:type="pct"/>
                  <w:vAlign w:val="center"/>
                </w:tcPr>
                <w:p w14:paraId="06301F8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大埔镇下游</w:t>
                  </w:r>
                </w:p>
              </w:tc>
              <w:tc>
                <w:tcPr>
                  <w:tcW w:w="608" w:type="pct"/>
                  <w:vAlign w:val="center"/>
                </w:tcPr>
                <w:p w14:paraId="7F3583C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湘江</w:t>
                  </w:r>
                </w:p>
              </w:tc>
              <w:tc>
                <w:tcPr>
                  <w:tcW w:w="621" w:type="pct"/>
                  <w:vAlign w:val="center"/>
                </w:tcPr>
                <w:p w14:paraId="430C98E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Ⅱ</w:t>
                  </w:r>
                </w:p>
              </w:tc>
              <w:tc>
                <w:tcPr>
                  <w:tcW w:w="595" w:type="pct"/>
                  <w:vAlign w:val="center"/>
                </w:tcPr>
                <w:p w14:paraId="555266E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Ⅱ</w:t>
                  </w:r>
                </w:p>
              </w:tc>
              <w:tc>
                <w:tcPr>
                  <w:tcW w:w="777" w:type="pct"/>
                  <w:vAlign w:val="center"/>
                </w:tcPr>
                <w:p w14:paraId="554374D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595" w:type="pct"/>
                  <w:vAlign w:val="center"/>
                </w:tcPr>
                <w:p w14:paraId="17E6B87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Ⅱ</w:t>
                  </w:r>
                </w:p>
              </w:tc>
              <w:tc>
                <w:tcPr>
                  <w:tcW w:w="596" w:type="pct"/>
                  <w:vAlign w:val="center"/>
                </w:tcPr>
                <w:p w14:paraId="093FB54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bl>
          <w:p w14:paraId="67911A8B">
            <w:pPr>
              <w:pStyle w:val="66"/>
              <w:tabs>
                <w:tab w:val="left" w:pos="1021"/>
              </w:tabs>
              <w:spacing w:after="0"/>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p>
          <w:p w14:paraId="44B43C35">
            <w:pPr>
              <w:pStyle w:val="66"/>
              <w:tabs>
                <w:tab w:val="left" w:pos="1021"/>
              </w:tabs>
              <w:spacing w:after="0"/>
              <w:ind w:left="0" w:leftChars="0" w:firstLine="0" w:firstLineChars="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45085</wp:posOffset>
                      </wp:positionH>
                      <wp:positionV relativeFrom="paragraph">
                        <wp:posOffset>2439035</wp:posOffset>
                      </wp:positionV>
                      <wp:extent cx="4797425" cy="219075"/>
                      <wp:effectExtent l="12700" t="12700" r="28575" b="15875"/>
                      <wp:wrapNone/>
                      <wp:docPr id="67" name="矩形 67"/>
                      <wp:cNvGraphicFramePr/>
                      <a:graphic xmlns:a="http://schemas.openxmlformats.org/drawingml/2006/main">
                        <a:graphicData uri="http://schemas.microsoft.com/office/word/2010/wordprocessingShape">
                          <wps:wsp>
                            <wps:cNvSpPr/>
                            <wps:spPr>
                              <a:xfrm>
                                <a:off x="1729740" y="4090035"/>
                                <a:ext cx="4797425" cy="21907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pt;margin-top:192.05pt;height:17.25pt;width:377.75pt;z-index:251667456;v-text-anchor:middle;mso-width-relative:page;mso-height-relative:page;" filled="f" stroked="t" coordsize="21600,21600" o:gfxdata="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ZM83L2QAAAAkBAAAPAAAAAAAAAAEAIAAAACIAAABkcnMvZG93bnJldi54&#10;bWxQSwECFAAUAAAACACHTuJAdyZGCGsCAADCBAAADgAAAAAAAAABACAAAAAoAQAAZHJzL2Uyb0Rv&#10;Yy54bWxQSwUGAAAAAAYABgBZAQAABQYAAAAA&#10;">
                      <v:fill on="f" focussize="0,0"/>
                      <v:stroke weight="2pt" color="#FF0000 [2404]" joinstyle="round"/>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061585" cy="3215005"/>
                  <wp:effectExtent l="0" t="0" r="5715" b="4445"/>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24"/>
                          <a:stretch>
                            <a:fillRect/>
                          </a:stretch>
                        </pic:blipFill>
                        <pic:spPr>
                          <a:xfrm>
                            <a:off x="0" y="0"/>
                            <a:ext cx="5061585" cy="3215005"/>
                          </a:xfrm>
                          <a:prstGeom prst="rect">
                            <a:avLst/>
                          </a:prstGeom>
                          <a:noFill/>
                          <a:ln>
                            <a:noFill/>
                          </a:ln>
                        </pic:spPr>
                      </pic:pic>
                    </a:graphicData>
                  </a:graphic>
                </wp:inline>
              </w:drawing>
            </w:r>
          </w:p>
          <w:p w14:paraId="5176A4C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由上表可知，</w:t>
            </w:r>
            <w:r>
              <w:rPr>
                <w:rFonts w:hint="default" w:ascii="Times New Roman" w:hAnsi="Times New Roman" w:cs="Times New Roman"/>
                <w:color w:val="000000" w:themeColor="text1"/>
                <w:sz w:val="24"/>
                <w:highlight w:val="none"/>
                <w14:textFill>
                  <w14:solidFill>
                    <w14:schemeClr w14:val="tx1"/>
                  </w14:solidFill>
                </w14:textFill>
              </w:rPr>
              <w:t>大埔镇下游</w:t>
            </w:r>
            <w:r>
              <w:rPr>
                <w:rFonts w:hint="default" w:ascii="Times New Roman" w:hAnsi="Times New Roman" w:cs="Times New Roman"/>
                <w:color w:val="000000" w:themeColor="text1"/>
                <w:sz w:val="24"/>
                <w:highlight w:val="none"/>
                <w14:textFill>
                  <w14:solidFill>
                    <w14:schemeClr w14:val="tx1"/>
                  </w14:solidFill>
                </w14:textFill>
              </w:rPr>
              <w:t>断面水质均满足相应水环境功能区标准。</w:t>
            </w:r>
          </w:p>
          <w:p w14:paraId="4F9D4DB9">
            <w:pPr>
              <w:spacing w:line="360" w:lineRule="auto"/>
              <w:ind w:firstLine="482" w:firstLineChars="200"/>
              <w:jc w:val="left"/>
              <w:rPr>
                <w:rFonts w:hint="default" w:ascii="Times New Roman" w:hAnsi="Times New Roman" w:cs="Times New Roman"/>
                <w:b/>
                <w:color w:val="000000" w:themeColor="text1"/>
                <w:sz w:val="24"/>
                <w:highlight w:val="none"/>
                <w:u w:val="single"/>
                <w14:textFill>
                  <w14:solidFill>
                    <w14:schemeClr w14:val="tx1"/>
                  </w14:solidFill>
                </w14:textFill>
              </w:rPr>
            </w:pPr>
            <w:r>
              <w:rPr>
                <w:rFonts w:hint="default" w:ascii="Times New Roman" w:hAnsi="Times New Roman" w:cs="Times New Roman"/>
                <w:b/>
                <w:color w:val="000000" w:themeColor="text1"/>
                <w:sz w:val="24"/>
                <w:highlight w:val="none"/>
                <w:u w:val="single"/>
                <w14:textFill>
                  <w14:solidFill>
                    <w14:schemeClr w14:val="tx1"/>
                  </w14:solidFill>
                </w14:textFill>
              </w:rPr>
              <w:t>2、引用数据</w:t>
            </w:r>
          </w:p>
          <w:p w14:paraId="60BB98B5">
            <w:pPr>
              <w:spacing w:line="360" w:lineRule="auto"/>
              <w:ind w:firstLine="480" w:firstLineChars="200"/>
              <w:jc w:val="left"/>
              <w:rPr>
                <w:rFonts w:hint="default" w:ascii="Times New Roman" w:hAnsi="Times New Roman" w:cs="Times New Roman"/>
                <w:bCs/>
                <w:color w:val="000000" w:themeColor="text1"/>
                <w:sz w:val="24"/>
                <w:highlight w:val="none"/>
                <w:u w:val="single"/>
                <w14:textFill>
                  <w14:solidFill>
                    <w14:schemeClr w14:val="tx1"/>
                  </w14:solidFill>
                </w14:textFill>
              </w:rPr>
            </w:pPr>
            <w:r>
              <w:rPr>
                <w:rFonts w:hint="default" w:ascii="Times New Roman" w:hAnsi="Times New Roman" w:cs="Times New Roman"/>
                <w:bCs/>
                <w:color w:val="000000" w:themeColor="text1"/>
                <w:sz w:val="24"/>
                <w:highlight w:val="none"/>
                <w:u w:val="single"/>
                <w14:textFill>
                  <w14:solidFill>
                    <w14:schemeClr w14:val="tx1"/>
                  </w14:solidFill>
                </w14:textFill>
              </w:rPr>
              <w:t>本次引用2025年1月大浦水质自动监测站数据，数据如下。</w:t>
            </w:r>
          </w:p>
          <w:p w14:paraId="17DE442E">
            <w:pPr>
              <w:pStyle w:val="4"/>
              <w:spacing w:before="0" w:after="0" w:line="360" w:lineRule="auto"/>
              <w:ind w:left="431" w:hanging="431"/>
              <w:jc w:val="center"/>
              <w:rPr>
                <w:rFonts w:hint="default" w:ascii="Times New Roman" w:hAnsi="Times New Roman" w:eastAsia="宋体" w:cs="Times New Roman"/>
                <w:bCs w:val="0"/>
                <w:color w:val="000000" w:themeColor="text1"/>
                <w:sz w:val="21"/>
                <w:szCs w:val="21"/>
                <w:highlight w:val="none"/>
                <w:u w:val="single"/>
                <w14:textFill>
                  <w14:solidFill>
                    <w14:schemeClr w14:val="tx1"/>
                  </w14:solidFill>
                </w14:textFill>
              </w:rPr>
            </w:pPr>
            <w:bookmarkStart w:id="61" w:name="_Toc9505"/>
            <w:r>
              <w:rPr>
                <w:rFonts w:hint="default" w:ascii="Times New Roman" w:hAnsi="Times New Roman" w:eastAsia="宋体" w:cs="Times New Roman"/>
                <w:bCs w:val="0"/>
                <w:color w:val="000000" w:themeColor="text1"/>
                <w:sz w:val="21"/>
                <w:szCs w:val="21"/>
                <w:highlight w:val="none"/>
                <w:u w:val="single"/>
                <w14:textFill>
                  <w14:solidFill>
                    <w14:schemeClr w14:val="tx1"/>
                  </w14:solidFill>
                </w14:textFill>
              </w:rPr>
              <w:t>表3-5  水质自动监测站数据</w:t>
            </w:r>
            <w:bookmarkEnd w:id="61"/>
          </w:p>
          <w:tbl>
            <w:tblPr>
              <w:tblStyle w:val="33"/>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
              <w:gridCol w:w="381"/>
              <w:gridCol w:w="381"/>
              <w:gridCol w:w="439"/>
              <w:gridCol w:w="498"/>
              <w:gridCol w:w="559"/>
              <w:gridCol w:w="411"/>
              <w:gridCol w:w="470"/>
              <w:gridCol w:w="439"/>
              <w:gridCol w:w="439"/>
              <w:gridCol w:w="440"/>
              <w:gridCol w:w="382"/>
              <w:gridCol w:w="382"/>
              <w:gridCol w:w="382"/>
              <w:gridCol w:w="382"/>
              <w:gridCol w:w="499"/>
              <w:gridCol w:w="412"/>
              <w:gridCol w:w="383"/>
            </w:tblGrid>
            <w:tr w14:paraId="44E13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restart"/>
                  <w:shd w:val="clear" w:color="auto" w:fill="auto"/>
                  <w:noWrap/>
                  <w:vAlign w:val="center"/>
                </w:tcPr>
                <w:p w14:paraId="44EA45D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点位</w:t>
                  </w:r>
                </w:p>
              </w:tc>
              <w:tc>
                <w:tcPr>
                  <w:tcW w:w="239" w:type="pct"/>
                  <w:vMerge w:val="restart"/>
                  <w:shd w:val="clear" w:color="auto" w:fill="auto"/>
                  <w:noWrap/>
                  <w:vAlign w:val="center"/>
                </w:tcPr>
                <w:p w14:paraId="6A854A1A">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监测时间</w:t>
                  </w:r>
                </w:p>
              </w:tc>
              <w:tc>
                <w:tcPr>
                  <w:tcW w:w="239" w:type="pct"/>
                  <w:shd w:val="clear" w:color="auto" w:fill="auto"/>
                  <w:noWrap/>
                  <w:vAlign w:val="center"/>
                </w:tcPr>
                <w:p w14:paraId="1678A5DC">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水温(℃)</w:t>
                  </w:r>
                </w:p>
              </w:tc>
              <w:tc>
                <w:tcPr>
                  <w:tcW w:w="276" w:type="pct"/>
                  <w:shd w:val="clear" w:color="auto" w:fill="auto"/>
                  <w:noWrap/>
                  <w:vAlign w:val="center"/>
                </w:tcPr>
                <w:p w14:paraId="2D7F974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pH(无量纲)</w:t>
                  </w:r>
                </w:p>
              </w:tc>
              <w:tc>
                <w:tcPr>
                  <w:tcW w:w="313" w:type="pct"/>
                  <w:shd w:val="clear" w:color="auto" w:fill="auto"/>
                  <w:noWrap/>
                  <w:vAlign w:val="center"/>
                </w:tcPr>
                <w:p w14:paraId="12DC4F86">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溶解氧(mg/L)</w:t>
                  </w:r>
                </w:p>
              </w:tc>
              <w:tc>
                <w:tcPr>
                  <w:tcW w:w="351" w:type="pct"/>
                  <w:shd w:val="clear" w:color="auto" w:fill="auto"/>
                  <w:noWrap/>
                  <w:vAlign w:val="center"/>
                </w:tcPr>
                <w:p w14:paraId="28E3866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电导率(μS/cm)</w:t>
                  </w:r>
                </w:p>
              </w:tc>
              <w:tc>
                <w:tcPr>
                  <w:tcW w:w="258" w:type="pct"/>
                  <w:shd w:val="clear" w:color="auto" w:fill="auto"/>
                  <w:noWrap/>
                  <w:vAlign w:val="center"/>
                </w:tcPr>
                <w:p w14:paraId="3BA7ABC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浊度(NTU)</w:t>
                  </w:r>
                </w:p>
              </w:tc>
              <w:tc>
                <w:tcPr>
                  <w:tcW w:w="295" w:type="pct"/>
                  <w:shd w:val="clear" w:color="auto" w:fill="auto"/>
                  <w:noWrap/>
                  <w:vAlign w:val="center"/>
                </w:tcPr>
                <w:p w14:paraId="2A76D2E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COD</w:t>
                  </w:r>
                  <w:r>
                    <w:rPr>
                      <w:rFonts w:hint="default" w:ascii="Times New Roman" w:hAnsi="Times New Roman" w:cs="Times New Roman"/>
                      <w:color w:val="000000" w:themeColor="text1"/>
                      <w:kern w:val="0"/>
                      <w:sz w:val="18"/>
                      <w:szCs w:val="18"/>
                      <w:highlight w:val="none"/>
                      <w:u w:val="single"/>
                      <w:vertAlign w:val="subscript"/>
                      <w:lang w:bidi="ar"/>
                      <w14:textFill>
                        <w14:solidFill>
                          <w14:schemeClr w14:val="tx1"/>
                        </w14:solidFill>
                      </w14:textFill>
                    </w:rPr>
                    <w:t>Mn</w:t>
                  </w: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(mg/L)</w:t>
                  </w:r>
                </w:p>
              </w:tc>
              <w:tc>
                <w:tcPr>
                  <w:tcW w:w="276" w:type="pct"/>
                  <w:shd w:val="clear" w:color="auto" w:fill="auto"/>
                  <w:noWrap/>
                  <w:vAlign w:val="center"/>
                </w:tcPr>
                <w:p w14:paraId="2B84E1CC">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氨氮(mg/L)</w:t>
                  </w:r>
                </w:p>
              </w:tc>
              <w:tc>
                <w:tcPr>
                  <w:tcW w:w="276" w:type="pct"/>
                  <w:shd w:val="clear" w:color="auto" w:fill="auto"/>
                  <w:noWrap/>
                  <w:vAlign w:val="center"/>
                </w:tcPr>
                <w:p w14:paraId="23D723B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总磷(mg/L)</w:t>
                  </w:r>
                </w:p>
              </w:tc>
              <w:tc>
                <w:tcPr>
                  <w:tcW w:w="276" w:type="pct"/>
                  <w:shd w:val="clear" w:color="auto" w:fill="auto"/>
                  <w:noWrap/>
                  <w:vAlign w:val="center"/>
                </w:tcPr>
                <w:p w14:paraId="0F818D0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总氮(mg/L)</w:t>
                  </w:r>
                </w:p>
              </w:tc>
              <w:tc>
                <w:tcPr>
                  <w:tcW w:w="239" w:type="pct"/>
                  <w:shd w:val="clear" w:color="auto" w:fill="auto"/>
                  <w:noWrap/>
                  <w:vAlign w:val="center"/>
                </w:tcPr>
                <w:p w14:paraId="780B265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镉(mg/L)</w:t>
                  </w:r>
                </w:p>
              </w:tc>
              <w:tc>
                <w:tcPr>
                  <w:tcW w:w="239" w:type="pct"/>
                  <w:shd w:val="clear" w:color="auto" w:fill="auto"/>
                  <w:noWrap/>
                  <w:vAlign w:val="center"/>
                </w:tcPr>
                <w:p w14:paraId="5EC9F227">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砷(mg/L)</w:t>
                  </w:r>
                </w:p>
              </w:tc>
              <w:tc>
                <w:tcPr>
                  <w:tcW w:w="239" w:type="pct"/>
                  <w:shd w:val="clear" w:color="auto" w:fill="auto"/>
                  <w:noWrap/>
                  <w:vAlign w:val="center"/>
                </w:tcPr>
                <w:p w14:paraId="045B9E6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铅(mg/L)</w:t>
                  </w:r>
                </w:p>
              </w:tc>
              <w:tc>
                <w:tcPr>
                  <w:tcW w:w="239" w:type="pct"/>
                  <w:shd w:val="clear" w:color="auto" w:fill="auto"/>
                  <w:noWrap/>
                  <w:vAlign w:val="center"/>
                </w:tcPr>
                <w:p w14:paraId="49D8C64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铬(mg/L)</w:t>
                  </w:r>
                </w:p>
              </w:tc>
              <w:tc>
                <w:tcPr>
                  <w:tcW w:w="313" w:type="pct"/>
                  <w:shd w:val="clear" w:color="auto" w:fill="auto"/>
                  <w:noWrap/>
                  <w:vAlign w:val="center"/>
                </w:tcPr>
                <w:p w14:paraId="1C3AC0F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挥发酚(mg/L)</w:t>
                  </w:r>
                </w:p>
              </w:tc>
              <w:tc>
                <w:tcPr>
                  <w:tcW w:w="258" w:type="pct"/>
                  <w:shd w:val="clear" w:color="auto" w:fill="auto"/>
                  <w:noWrap/>
                  <w:vAlign w:val="center"/>
                </w:tcPr>
                <w:p w14:paraId="1508DE2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铊(μg/L)</w:t>
                  </w:r>
                </w:p>
              </w:tc>
              <w:tc>
                <w:tcPr>
                  <w:tcW w:w="240" w:type="pct"/>
                  <w:shd w:val="clear" w:color="auto" w:fill="auto"/>
                  <w:noWrap/>
                  <w:vAlign w:val="center"/>
                </w:tcPr>
                <w:p w14:paraId="103E6624">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汞(mg/L)</w:t>
                  </w:r>
                </w:p>
              </w:tc>
            </w:tr>
            <w:tr w14:paraId="2FD46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continue"/>
                  <w:shd w:val="clear" w:color="auto" w:fill="auto"/>
                  <w:noWrap/>
                  <w:vAlign w:val="center"/>
                </w:tcPr>
                <w:p w14:paraId="0F28E963">
                  <w:pPr>
                    <w:widowControl/>
                    <w:ind w:left="-105" w:leftChars="-50" w:right="-105" w:rightChars="-50"/>
                    <w:jc w:val="center"/>
                    <w:rPr>
                      <w:rFonts w:hint="default" w:ascii="Times New Roman" w:hAnsi="Times New Roman" w:cs="Times New Roman"/>
                      <w:color w:val="000000" w:themeColor="text1"/>
                      <w:sz w:val="18"/>
                      <w:szCs w:val="18"/>
                      <w:highlight w:val="none"/>
                      <w:u w:val="single"/>
                      <w14:textFill>
                        <w14:solidFill>
                          <w14:schemeClr w14:val="tx1"/>
                        </w14:solidFill>
                      </w14:textFill>
                    </w:rPr>
                  </w:pPr>
                </w:p>
              </w:tc>
              <w:tc>
                <w:tcPr>
                  <w:tcW w:w="239" w:type="pct"/>
                  <w:vMerge w:val="continue"/>
                  <w:shd w:val="clear" w:color="auto" w:fill="auto"/>
                  <w:noWrap/>
                  <w:vAlign w:val="center"/>
                </w:tcPr>
                <w:p w14:paraId="2F8E351C">
                  <w:pPr>
                    <w:widowControl/>
                    <w:ind w:left="-105" w:leftChars="-50" w:right="-105" w:rightChars="-50"/>
                    <w:jc w:val="center"/>
                    <w:rPr>
                      <w:rFonts w:hint="default" w:ascii="Times New Roman" w:hAnsi="Times New Roman" w:cs="Times New Roman"/>
                      <w:color w:val="000000" w:themeColor="text1"/>
                      <w:sz w:val="18"/>
                      <w:szCs w:val="18"/>
                      <w:highlight w:val="none"/>
                      <w:u w:val="single"/>
                      <w14:textFill>
                        <w14:solidFill>
                          <w14:schemeClr w14:val="tx1"/>
                        </w14:solidFill>
                      </w14:textFill>
                    </w:rPr>
                  </w:pPr>
                </w:p>
              </w:tc>
              <w:tc>
                <w:tcPr>
                  <w:tcW w:w="239" w:type="pct"/>
                  <w:shd w:val="clear" w:color="auto" w:fill="auto"/>
                  <w:noWrap/>
                  <w:vAlign w:val="center"/>
                </w:tcPr>
                <w:p w14:paraId="7D984B36">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sz w:val="18"/>
                      <w:szCs w:val="18"/>
                      <w:highlight w:val="none"/>
                      <w:u w:val="single"/>
                      <w14:textFill>
                        <w14:solidFill>
                          <w14:schemeClr w14:val="tx1"/>
                        </w14:solidFill>
                      </w14:textFill>
                    </w:rPr>
                    <w:t>标准值</w:t>
                  </w:r>
                </w:p>
              </w:tc>
              <w:tc>
                <w:tcPr>
                  <w:tcW w:w="276" w:type="pct"/>
                  <w:shd w:val="clear" w:color="auto" w:fill="auto"/>
                  <w:noWrap/>
                  <w:vAlign w:val="center"/>
                </w:tcPr>
                <w:p w14:paraId="568A40DD">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6~9</w:t>
                  </w:r>
                </w:p>
              </w:tc>
              <w:tc>
                <w:tcPr>
                  <w:tcW w:w="313" w:type="pct"/>
                  <w:shd w:val="clear" w:color="auto" w:fill="auto"/>
                  <w:noWrap/>
                  <w:vAlign w:val="center"/>
                </w:tcPr>
                <w:p w14:paraId="10E74E0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w:t>
                  </w:r>
                </w:p>
              </w:tc>
              <w:tc>
                <w:tcPr>
                  <w:tcW w:w="351" w:type="pct"/>
                  <w:shd w:val="clear" w:color="auto" w:fill="auto"/>
                  <w:noWrap/>
                  <w:vAlign w:val="center"/>
                </w:tcPr>
                <w:p w14:paraId="14A84F8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sz w:val="18"/>
                      <w:szCs w:val="18"/>
                      <w:highlight w:val="none"/>
                      <w:u w:val="single"/>
                      <w14:textFill>
                        <w14:solidFill>
                          <w14:schemeClr w14:val="tx1"/>
                        </w14:solidFill>
                      </w14:textFill>
                    </w:rPr>
                    <w:t>/</w:t>
                  </w:r>
                </w:p>
              </w:tc>
              <w:tc>
                <w:tcPr>
                  <w:tcW w:w="258" w:type="pct"/>
                  <w:shd w:val="clear" w:color="auto" w:fill="auto"/>
                  <w:noWrap/>
                  <w:vAlign w:val="center"/>
                </w:tcPr>
                <w:p w14:paraId="1800061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sz w:val="18"/>
                      <w:szCs w:val="18"/>
                      <w:highlight w:val="none"/>
                      <w:u w:val="single"/>
                      <w14:textFill>
                        <w14:solidFill>
                          <w14:schemeClr w14:val="tx1"/>
                        </w14:solidFill>
                      </w14:textFill>
                    </w:rPr>
                    <w:t>/</w:t>
                  </w:r>
                </w:p>
              </w:tc>
              <w:tc>
                <w:tcPr>
                  <w:tcW w:w="295" w:type="pct"/>
                  <w:shd w:val="clear" w:color="auto" w:fill="auto"/>
                  <w:noWrap/>
                  <w:vAlign w:val="center"/>
                </w:tcPr>
                <w:p w14:paraId="53F5CF6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6</w:t>
                  </w:r>
                </w:p>
              </w:tc>
              <w:tc>
                <w:tcPr>
                  <w:tcW w:w="276" w:type="pct"/>
                  <w:shd w:val="clear" w:color="auto" w:fill="auto"/>
                  <w:noWrap/>
                  <w:vAlign w:val="center"/>
                </w:tcPr>
                <w:p w14:paraId="1823A89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w:t>
                  </w:r>
                </w:p>
              </w:tc>
              <w:tc>
                <w:tcPr>
                  <w:tcW w:w="276" w:type="pct"/>
                  <w:shd w:val="clear" w:color="auto" w:fill="auto"/>
                  <w:noWrap/>
                  <w:vAlign w:val="center"/>
                </w:tcPr>
                <w:p w14:paraId="2B06BB50">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0.2</w:t>
                  </w:r>
                </w:p>
              </w:tc>
              <w:tc>
                <w:tcPr>
                  <w:tcW w:w="276" w:type="pct"/>
                  <w:shd w:val="clear" w:color="auto" w:fill="auto"/>
                  <w:noWrap/>
                  <w:vAlign w:val="center"/>
                </w:tcPr>
                <w:p w14:paraId="3C4CB07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sz w:val="18"/>
                      <w:szCs w:val="18"/>
                      <w:highlight w:val="none"/>
                      <w:u w:val="single"/>
                      <w14:textFill>
                        <w14:solidFill>
                          <w14:schemeClr w14:val="tx1"/>
                        </w14:solidFill>
                      </w14:textFill>
                    </w:rPr>
                    <w:t>/</w:t>
                  </w:r>
                </w:p>
              </w:tc>
              <w:tc>
                <w:tcPr>
                  <w:tcW w:w="239" w:type="pct"/>
                  <w:shd w:val="clear" w:color="auto" w:fill="auto"/>
                  <w:noWrap/>
                  <w:vAlign w:val="center"/>
                </w:tcPr>
                <w:p w14:paraId="651AE59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0.005</w:t>
                  </w:r>
                </w:p>
              </w:tc>
              <w:tc>
                <w:tcPr>
                  <w:tcW w:w="239" w:type="pct"/>
                  <w:shd w:val="clear" w:color="auto" w:fill="auto"/>
                  <w:noWrap/>
                  <w:vAlign w:val="center"/>
                </w:tcPr>
                <w:p w14:paraId="53E62D84">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0.05</w:t>
                  </w:r>
                </w:p>
              </w:tc>
              <w:tc>
                <w:tcPr>
                  <w:tcW w:w="239" w:type="pct"/>
                  <w:shd w:val="clear" w:color="auto" w:fill="auto"/>
                  <w:noWrap/>
                  <w:vAlign w:val="center"/>
                </w:tcPr>
                <w:p w14:paraId="406CF71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0.05</w:t>
                  </w:r>
                </w:p>
              </w:tc>
              <w:tc>
                <w:tcPr>
                  <w:tcW w:w="239" w:type="pct"/>
                  <w:shd w:val="clear" w:color="auto" w:fill="auto"/>
                  <w:noWrap/>
                  <w:vAlign w:val="center"/>
                </w:tcPr>
                <w:p w14:paraId="2F5135C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sz w:val="18"/>
                      <w:szCs w:val="18"/>
                      <w:highlight w:val="none"/>
                      <w:u w:val="single"/>
                      <w14:textFill>
                        <w14:solidFill>
                          <w14:schemeClr w14:val="tx1"/>
                        </w14:solidFill>
                      </w14:textFill>
                    </w:rPr>
                    <w:t>/</w:t>
                  </w:r>
                </w:p>
              </w:tc>
              <w:tc>
                <w:tcPr>
                  <w:tcW w:w="313" w:type="pct"/>
                  <w:shd w:val="clear" w:color="auto" w:fill="auto"/>
                  <w:noWrap/>
                  <w:vAlign w:val="center"/>
                </w:tcPr>
                <w:p w14:paraId="5988109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0.005</w:t>
                  </w:r>
                </w:p>
              </w:tc>
              <w:tc>
                <w:tcPr>
                  <w:tcW w:w="258" w:type="pct"/>
                  <w:shd w:val="clear" w:color="auto" w:fill="auto"/>
                  <w:noWrap/>
                  <w:vAlign w:val="center"/>
                </w:tcPr>
                <w:p w14:paraId="53F25FA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0.1</w:t>
                  </w:r>
                </w:p>
              </w:tc>
              <w:tc>
                <w:tcPr>
                  <w:tcW w:w="240" w:type="pct"/>
                  <w:shd w:val="clear" w:color="auto" w:fill="auto"/>
                  <w:noWrap/>
                  <w:vAlign w:val="center"/>
                </w:tcPr>
                <w:p w14:paraId="144B825A">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0.0001</w:t>
                  </w:r>
                </w:p>
              </w:tc>
            </w:tr>
            <w:tr w14:paraId="520A8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restart"/>
                  <w:shd w:val="clear" w:color="auto" w:fill="auto"/>
                  <w:noWrap/>
                  <w:vAlign w:val="center"/>
                </w:tcPr>
                <w:p w14:paraId="02BAAE8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大浦水质监测上游站</w:t>
                  </w:r>
                </w:p>
              </w:tc>
              <w:tc>
                <w:tcPr>
                  <w:tcW w:w="239" w:type="pct"/>
                  <w:shd w:val="clear" w:color="auto" w:fill="auto"/>
                  <w:noWrap/>
                  <w:vAlign w:val="center"/>
                </w:tcPr>
                <w:p w14:paraId="4EC54BD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最大值</w:t>
                  </w:r>
                </w:p>
              </w:tc>
              <w:tc>
                <w:tcPr>
                  <w:tcW w:w="239" w:type="pct"/>
                  <w:shd w:val="clear" w:color="auto" w:fill="auto"/>
                  <w:noWrap/>
                  <w:vAlign w:val="center"/>
                </w:tcPr>
                <w:p w14:paraId="01FACA0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13.6</w:t>
                  </w:r>
                </w:p>
              </w:tc>
              <w:tc>
                <w:tcPr>
                  <w:tcW w:w="276" w:type="pct"/>
                  <w:shd w:val="clear" w:color="auto" w:fill="auto"/>
                  <w:noWrap/>
                  <w:vAlign w:val="center"/>
                </w:tcPr>
                <w:p w14:paraId="0D24458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8.18</w:t>
                  </w:r>
                </w:p>
              </w:tc>
              <w:tc>
                <w:tcPr>
                  <w:tcW w:w="313" w:type="pct"/>
                  <w:shd w:val="clear" w:color="auto" w:fill="auto"/>
                  <w:noWrap/>
                  <w:vAlign w:val="center"/>
                </w:tcPr>
                <w:p w14:paraId="438B481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10.23</w:t>
                  </w:r>
                </w:p>
              </w:tc>
              <w:tc>
                <w:tcPr>
                  <w:tcW w:w="351" w:type="pct"/>
                  <w:shd w:val="clear" w:color="auto" w:fill="auto"/>
                  <w:noWrap/>
                  <w:vAlign w:val="center"/>
                </w:tcPr>
                <w:p w14:paraId="5159B69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280.6</w:t>
                  </w:r>
                </w:p>
              </w:tc>
              <w:tc>
                <w:tcPr>
                  <w:tcW w:w="258" w:type="pct"/>
                  <w:shd w:val="clear" w:color="auto" w:fill="auto"/>
                  <w:noWrap/>
                  <w:vAlign w:val="center"/>
                </w:tcPr>
                <w:p w14:paraId="79BDE53D">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12.8</w:t>
                  </w:r>
                </w:p>
              </w:tc>
              <w:tc>
                <w:tcPr>
                  <w:tcW w:w="295" w:type="pct"/>
                  <w:shd w:val="clear" w:color="auto" w:fill="auto"/>
                  <w:noWrap/>
                  <w:vAlign w:val="center"/>
                </w:tcPr>
                <w:p w14:paraId="05104C1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17.19</w:t>
                  </w:r>
                </w:p>
              </w:tc>
              <w:tc>
                <w:tcPr>
                  <w:tcW w:w="276" w:type="pct"/>
                  <w:shd w:val="clear" w:color="auto" w:fill="auto"/>
                  <w:noWrap/>
                  <w:vAlign w:val="center"/>
                </w:tcPr>
                <w:p w14:paraId="5D43329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0.376</w:t>
                  </w:r>
                </w:p>
              </w:tc>
              <w:tc>
                <w:tcPr>
                  <w:tcW w:w="276" w:type="pct"/>
                  <w:shd w:val="clear" w:color="auto" w:fill="auto"/>
                  <w:noWrap/>
                  <w:vAlign w:val="center"/>
                </w:tcPr>
                <w:p w14:paraId="75F7D15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0.061</w:t>
                  </w:r>
                </w:p>
              </w:tc>
              <w:tc>
                <w:tcPr>
                  <w:tcW w:w="276" w:type="pct"/>
                  <w:shd w:val="clear" w:color="auto" w:fill="auto"/>
                  <w:noWrap/>
                  <w:vAlign w:val="center"/>
                </w:tcPr>
                <w:p w14:paraId="3F261F2A">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1.98</w:t>
                  </w:r>
                </w:p>
              </w:tc>
              <w:tc>
                <w:tcPr>
                  <w:tcW w:w="239" w:type="pct"/>
                  <w:shd w:val="clear" w:color="auto" w:fill="auto"/>
                  <w:noWrap/>
                  <w:vAlign w:val="center"/>
                </w:tcPr>
                <w:p w14:paraId="34866926">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0.1569</w:t>
                  </w:r>
                </w:p>
              </w:tc>
              <w:tc>
                <w:tcPr>
                  <w:tcW w:w="239" w:type="pct"/>
                  <w:shd w:val="clear" w:color="auto" w:fill="auto"/>
                  <w:noWrap/>
                  <w:vAlign w:val="center"/>
                </w:tcPr>
                <w:p w14:paraId="237C96F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0.0100</w:t>
                  </w:r>
                </w:p>
              </w:tc>
              <w:tc>
                <w:tcPr>
                  <w:tcW w:w="239" w:type="pct"/>
                  <w:shd w:val="clear" w:color="auto" w:fill="auto"/>
                  <w:noWrap/>
                  <w:vAlign w:val="center"/>
                </w:tcPr>
                <w:p w14:paraId="7DB787F8">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0.0273</w:t>
                  </w:r>
                </w:p>
              </w:tc>
              <w:tc>
                <w:tcPr>
                  <w:tcW w:w="239" w:type="pct"/>
                  <w:shd w:val="clear" w:color="auto" w:fill="auto"/>
                  <w:noWrap/>
                  <w:vAlign w:val="center"/>
                </w:tcPr>
                <w:p w14:paraId="04E82EE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0.0100</w:t>
                  </w:r>
                </w:p>
              </w:tc>
              <w:tc>
                <w:tcPr>
                  <w:tcW w:w="313" w:type="pct"/>
                  <w:shd w:val="clear" w:color="auto" w:fill="auto"/>
                  <w:noWrap/>
                  <w:vAlign w:val="center"/>
                </w:tcPr>
                <w:p w14:paraId="5A5D216C">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0.0022</w:t>
                  </w:r>
                </w:p>
              </w:tc>
              <w:tc>
                <w:tcPr>
                  <w:tcW w:w="258" w:type="pct"/>
                  <w:shd w:val="clear" w:color="auto" w:fill="auto"/>
                  <w:noWrap/>
                  <w:vAlign w:val="center"/>
                </w:tcPr>
                <w:p w14:paraId="41D8189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0.040</w:t>
                  </w:r>
                </w:p>
              </w:tc>
              <w:tc>
                <w:tcPr>
                  <w:tcW w:w="240" w:type="pct"/>
                  <w:shd w:val="clear" w:color="auto" w:fill="auto"/>
                  <w:noWrap/>
                  <w:vAlign w:val="center"/>
                </w:tcPr>
                <w:p w14:paraId="1A33D8A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r>
            <w:tr w14:paraId="0BE2F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continue"/>
                  <w:shd w:val="clear" w:color="auto" w:fill="auto"/>
                  <w:noWrap/>
                  <w:vAlign w:val="center"/>
                </w:tcPr>
                <w:p w14:paraId="786E940D">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p>
              </w:tc>
              <w:tc>
                <w:tcPr>
                  <w:tcW w:w="239" w:type="pct"/>
                  <w:shd w:val="clear" w:color="auto" w:fill="auto"/>
                  <w:noWrap/>
                  <w:vAlign w:val="center"/>
                </w:tcPr>
                <w:p w14:paraId="4532B55A">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最小值</w:t>
                  </w:r>
                </w:p>
              </w:tc>
              <w:tc>
                <w:tcPr>
                  <w:tcW w:w="239" w:type="pct"/>
                  <w:shd w:val="clear" w:color="auto" w:fill="auto"/>
                  <w:noWrap/>
                  <w:vAlign w:val="center"/>
                </w:tcPr>
                <w:p w14:paraId="456416A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12.0</w:t>
                  </w:r>
                </w:p>
              </w:tc>
              <w:tc>
                <w:tcPr>
                  <w:tcW w:w="276" w:type="pct"/>
                  <w:shd w:val="clear" w:color="auto" w:fill="auto"/>
                  <w:noWrap/>
                  <w:vAlign w:val="center"/>
                </w:tcPr>
                <w:p w14:paraId="2BC535F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7.11</w:t>
                  </w:r>
                </w:p>
              </w:tc>
              <w:tc>
                <w:tcPr>
                  <w:tcW w:w="313" w:type="pct"/>
                  <w:shd w:val="clear" w:color="auto" w:fill="auto"/>
                  <w:noWrap/>
                  <w:vAlign w:val="center"/>
                </w:tcPr>
                <w:p w14:paraId="47B535C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9.52</w:t>
                  </w:r>
                </w:p>
              </w:tc>
              <w:tc>
                <w:tcPr>
                  <w:tcW w:w="351" w:type="pct"/>
                  <w:shd w:val="clear" w:color="auto" w:fill="auto"/>
                  <w:noWrap/>
                  <w:vAlign w:val="center"/>
                </w:tcPr>
                <w:p w14:paraId="0DDBF6D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221.8</w:t>
                  </w:r>
                </w:p>
              </w:tc>
              <w:tc>
                <w:tcPr>
                  <w:tcW w:w="258" w:type="pct"/>
                  <w:shd w:val="clear" w:color="auto" w:fill="auto"/>
                  <w:noWrap/>
                  <w:vAlign w:val="center"/>
                </w:tcPr>
                <w:p w14:paraId="4A998C1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3.9</w:t>
                  </w:r>
                </w:p>
              </w:tc>
              <w:tc>
                <w:tcPr>
                  <w:tcW w:w="295" w:type="pct"/>
                  <w:shd w:val="clear" w:color="auto" w:fill="auto"/>
                  <w:noWrap/>
                  <w:vAlign w:val="center"/>
                </w:tcPr>
                <w:p w14:paraId="7FA137F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1.70</w:t>
                  </w:r>
                </w:p>
              </w:tc>
              <w:tc>
                <w:tcPr>
                  <w:tcW w:w="276" w:type="pct"/>
                  <w:shd w:val="clear" w:color="auto" w:fill="auto"/>
                  <w:noWrap/>
                  <w:vAlign w:val="center"/>
                </w:tcPr>
                <w:p w14:paraId="66ECA2C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0.040</w:t>
                  </w:r>
                </w:p>
              </w:tc>
              <w:tc>
                <w:tcPr>
                  <w:tcW w:w="276" w:type="pct"/>
                  <w:shd w:val="clear" w:color="auto" w:fill="auto"/>
                  <w:noWrap/>
                  <w:vAlign w:val="center"/>
                </w:tcPr>
                <w:p w14:paraId="1F2D47A5">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0.045</w:t>
                  </w:r>
                </w:p>
              </w:tc>
              <w:tc>
                <w:tcPr>
                  <w:tcW w:w="276" w:type="pct"/>
                  <w:shd w:val="clear" w:color="auto" w:fill="auto"/>
                  <w:noWrap/>
                  <w:vAlign w:val="center"/>
                </w:tcPr>
                <w:p w14:paraId="272243E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1.48</w:t>
                  </w:r>
                </w:p>
              </w:tc>
              <w:tc>
                <w:tcPr>
                  <w:tcW w:w="239" w:type="pct"/>
                  <w:shd w:val="clear" w:color="auto" w:fill="auto"/>
                  <w:noWrap/>
                  <w:vAlign w:val="center"/>
                </w:tcPr>
                <w:p w14:paraId="6892FEC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6A442128">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52B8DCB6">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18F8228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13" w:type="pct"/>
                  <w:shd w:val="clear" w:color="auto" w:fill="auto"/>
                  <w:noWrap/>
                  <w:vAlign w:val="center"/>
                </w:tcPr>
                <w:p w14:paraId="0250C0C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58" w:type="pct"/>
                  <w:shd w:val="clear" w:color="auto" w:fill="auto"/>
                  <w:noWrap/>
                  <w:vAlign w:val="center"/>
                </w:tcPr>
                <w:p w14:paraId="6EFF5253">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0.030</w:t>
                  </w:r>
                </w:p>
              </w:tc>
              <w:tc>
                <w:tcPr>
                  <w:tcW w:w="240" w:type="pct"/>
                  <w:shd w:val="clear" w:color="auto" w:fill="auto"/>
                  <w:noWrap/>
                  <w:vAlign w:val="center"/>
                </w:tcPr>
                <w:p w14:paraId="54062C6B">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r>
            <w:tr w14:paraId="0DB3E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continue"/>
                  <w:shd w:val="clear" w:color="auto" w:fill="auto"/>
                  <w:noWrap/>
                  <w:vAlign w:val="center"/>
                </w:tcPr>
                <w:p w14:paraId="1CFC15F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p>
              </w:tc>
              <w:tc>
                <w:tcPr>
                  <w:tcW w:w="239" w:type="pct"/>
                  <w:shd w:val="clear" w:color="auto" w:fill="auto"/>
                  <w:noWrap/>
                  <w:vAlign w:val="center"/>
                </w:tcPr>
                <w:p w14:paraId="0DE32E1A">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均值</w:t>
                  </w:r>
                </w:p>
              </w:tc>
              <w:tc>
                <w:tcPr>
                  <w:tcW w:w="239" w:type="pct"/>
                  <w:shd w:val="clear" w:color="auto" w:fill="auto"/>
                  <w:noWrap/>
                  <w:vAlign w:val="center"/>
                </w:tcPr>
                <w:p w14:paraId="5F6C439B">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12.8</w:t>
                  </w:r>
                </w:p>
              </w:tc>
              <w:tc>
                <w:tcPr>
                  <w:tcW w:w="276" w:type="pct"/>
                  <w:shd w:val="clear" w:color="auto" w:fill="auto"/>
                  <w:noWrap/>
                  <w:vAlign w:val="center"/>
                </w:tcPr>
                <w:p w14:paraId="576A78E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w:t>
                  </w:r>
                </w:p>
              </w:tc>
              <w:tc>
                <w:tcPr>
                  <w:tcW w:w="313" w:type="pct"/>
                  <w:shd w:val="clear" w:color="auto" w:fill="auto"/>
                  <w:noWrap/>
                  <w:vAlign w:val="center"/>
                </w:tcPr>
                <w:p w14:paraId="2AAE4AA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9.9</w:t>
                  </w:r>
                </w:p>
              </w:tc>
              <w:tc>
                <w:tcPr>
                  <w:tcW w:w="351" w:type="pct"/>
                  <w:shd w:val="clear" w:color="auto" w:fill="auto"/>
                  <w:noWrap/>
                  <w:vAlign w:val="center"/>
                </w:tcPr>
                <w:p w14:paraId="7B73D797">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257.4</w:t>
                  </w:r>
                </w:p>
              </w:tc>
              <w:tc>
                <w:tcPr>
                  <w:tcW w:w="258" w:type="pct"/>
                  <w:shd w:val="clear" w:color="auto" w:fill="auto"/>
                  <w:noWrap/>
                  <w:vAlign w:val="center"/>
                </w:tcPr>
                <w:p w14:paraId="2622A8A7">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5.5</w:t>
                  </w:r>
                </w:p>
              </w:tc>
              <w:tc>
                <w:tcPr>
                  <w:tcW w:w="295" w:type="pct"/>
                  <w:shd w:val="clear" w:color="auto" w:fill="auto"/>
                  <w:noWrap/>
                  <w:vAlign w:val="center"/>
                </w:tcPr>
                <w:p w14:paraId="1AACDE9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2.8</w:t>
                  </w:r>
                </w:p>
              </w:tc>
              <w:tc>
                <w:tcPr>
                  <w:tcW w:w="276" w:type="pct"/>
                  <w:shd w:val="clear" w:color="auto" w:fill="auto"/>
                  <w:noWrap/>
                  <w:vAlign w:val="center"/>
                </w:tcPr>
                <w:p w14:paraId="74E525F7">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0.09</w:t>
                  </w:r>
                </w:p>
              </w:tc>
              <w:tc>
                <w:tcPr>
                  <w:tcW w:w="276" w:type="pct"/>
                  <w:shd w:val="clear" w:color="auto" w:fill="auto"/>
                  <w:noWrap/>
                  <w:vAlign w:val="center"/>
                </w:tcPr>
                <w:p w14:paraId="15EE7B61">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0.052</w:t>
                  </w:r>
                </w:p>
              </w:tc>
              <w:tc>
                <w:tcPr>
                  <w:tcW w:w="276" w:type="pct"/>
                  <w:shd w:val="clear" w:color="auto" w:fill="auto"/>
                  <w:noWrap/>
                  <w:vAlign w:val="center"/>
                </w:tcPr>
                <w:p w14:paraId="78FFFB7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1.66</w:t>
                  </w:r>
                </w:p>
              </w:tc>
              <w:tc>
                <w:tcPr>
                  <w:tcW w:w="239" w:type="pct"/>
                  <w:shd w:val="clear" w:color="auto" w:fill="auto"/>
                  <w:noWrap/>
                  <w:vAlign w:val="center"/>
                </w:tcPr>
                <w:p w14:paraId="0F5E41FF">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0.0038</w:t>
                  </w:r>
                </w:p>
              </w:tc>
              <w:tc>
                <w:tcPr>
                  <w:tcW w:w="239" w:type="pct"/>
                  <w:shd w:val="clear" w:color="auto" w:fill="auto"/>
                  <w:noWrap/>
                  <w:vAlign w:val="center"/>
                </w:tcPr>
                <w:p w14:paraId="2E169799">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0.0047</w:t>
                  </w:r>
                </w:p>
              </w:tc>
              <w:tc>
                <w:tcPr>
                  <w:tcW w:w="239" w:type="pct"/>
                  <w:shd w:val="clear" w:color="auto" w:fill="auto"/>
                  <w:noWrap/>
                  <w:vAlign w:val="center"/>
                </w:tcPr>
                <w:p w14:paraId="33C298C2">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0.0232</w:t>
                  </w:r>
                </w:p>
              </w:tc>
              <w:tc>
                <w:tcPr>
                  <w:tcW w:w="239" w:type="pct"/>
                  <w:shd w:val="clear" w:color="auto" w:fill="auto"/>
                  <w:noWrap/>
                  <w:vAlign w:val="center"/>
                </w:tcPr>
                <w:p w14:paraId="4B6B0B97">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0.0001</w:t>
                  </w:r>
                </w:p>
              </w:tc>
              <w:tc>
                <w:tcPr>
                  <w:tcW w:w="313" w:type="pct"/>
                  <w:shd w:val="clear" w:color="auto" w:fill="auto"/>
                  <w:noWrap/>
                  <w:vAlign w:val="center"/>
                </w:tcPr>
                <w:p w14:paraId="64A873C6">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0.0007</w:t>
                  </w:r>
                </w:p>
              </w:tc>
              <w:tc>
                <w:tcPr>
                  <w:tcW w:w="258" w:type="pct"/>
                  <w:shd w:val="clear" w:color="auto" w:fill="auto"/>
                  <w:noWrap/>
                  <w:vAlign w:val="center"/>
                </w:tcPr>
                <w:p w14:paraId="2D6E5D8E">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0.030</w:t>
                  </w:r>
                </w:p>
              </w:tc>
              <w:tc>
                <w:tcPr>
                  <w:tcW w:w="240" w:type="pct"/>
                  <w:shd w:val="clear" w:color="auto" w:fill="auto"/>
                  <w:noWrap/>
                  <w:vAlign w:val="center"/>
                </w:tcPr>
                <w:p w14:paraId="7E07D644">
                  <w:pPr>
                    <w:widowControl/>
                    <w:ind w:left="-105" w:leftChars="-50" w:right="-105" w:rightChars="-50"/>
                    <w:jc w:val="center"/>
                    <w:textAlignment w:val="center"/>
                    <w:rPr>
                      <w:rFonts w:hint="default" w:ascii="Times New Roman" w:hAnsi="Times New Roman" w:cs="Times New Roman"/>
                      <w:color w:val="000000" w:themeColor="text1"/>
                      <w:sz w:val="18"/>
                      <w:szCs w:val="18"/>
                      <w:highlight w:val="none"/>
                      <w:u w:val="single"/>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r>
            <w:tr w14:paraId="48604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restart"/>
                  <w:shd w:val="clear" w:color="auto" w:fill="auto"/>
                  <w:noWrap/>
                  <w:vAlign w:val="center"/>
                </w:tcPr>
                <w:p w14:paraId="4A73D0F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大浦水质监测下游站</w:t>
                  </w:r>
                </w:p>
              </w:tc>
              <w:tc>
                <w:tcPr>
                  <w:tcW w:w="239" w:type="pct"/>
                  <w:shd w:val="clear" w:color="auto" w:fill="auto"/>
                  <w:noWrap/>
                  <w:vAlign w:val="center"/>
                </w:tcPr>
                <w:p w14:paraId="5823910E">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最大值</w:t>
                  </w:r>
                </w:p>
              </w:tc>
              <w:tc>
                <w:tcPr>
                  <w:tcW w:w="239" w:type="pct"/>
                  <w:shd w:val="clear" w:color="auto" w:fill="auto"/>
                  <w:noWrap/>
                  <w:vAlign w:val="center"/>
                </w:tcPr>
                <w:p w14:paraId="6780A85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20.2</w:t>
                  </w:r>
                </w:p>
              </w:tc>
              <w:tc>
                <w:tcPr>
                  <w:tcW w:w="276" w:type="pct"/>
                  <w:shd w:val="clear" w:color="auto" w:fill="auto"/>
                  <w:noWrap/>
                  <w:vAlign w:val="center"/>
                </w:tcPr>
                <w:p w14:paraId="4DC60A49">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8.09</w:t>
                  </w:r>
                </w:p>
              </w:tc>
              <w:tc>
                <w:tcPr>
                  <w:tcW w:w="313" w:type="pct"/>
                  <w:shd w:val="clear" w:color="auto" w:fill="auto"/>
                  <w:noWrap/>
                  <w:vAlign w:val="center"/>
                </w:tcPr>
                <w:p w14:paraId="41856AB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10.74</w:t>
                  </w:r>
                </w:p>
              </w:tc>
              <w:tc>
                <w:tcPr>
                  <w:tcW w:w="351" w:type="pct"/>
                  <w:shd w:val="clear" w:color="auto" w:fill="auto"/>
                  <w:noWrap/>
                  <w:vAlign w:val="center"/>
                </w:tcPr>
                <w:p w14:paraId="365B99F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267.6</w:t>
                  </w:r>
                </w:p>
              </w:tc>
              <w:tc>
                <w:tcPr>
                  <w:tcW w:w="258" w:type="pct"/>
                  <w:shd w:val="clear" w:color="auto" w:fill="auto"/>
                  <w:noWrap/>
                  <w:vAlign w:val="center"/>
                </w:tcPr>
                <w:p w14:paraId="732D7383">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46.0</w:t>
                  </w:r>
                </w:p>
              </w:tc>
              <w:tc>
                <w:tcPr>
                  <w:tcW w:w="295" w:type="pct"/>
                  <w:shd w:val="clear" w:color="auto" w:fill="auto"/>
                  <w:noWrap/>
                  <w:vAlign w:val="center"/>
                </w:tcPr>
                <w:p w14:paraId="31B554F0">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7.14</w:t>
                  </w:r>
                </w:p>
              </w:tc>
              <w:tc>
                <w:tcPr>
                  <w:tcW w:w="276" w:type="pct"/>
                  <w:shd w:val="clear" w:color="auto" w:fill="auto"/>
                  <w:noWrap/>
                  <w:vAlign w:val="center"/>
                </w:tcPr>
                <w:p w14:paraId="148847D8">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0.356</w:t>
                  </w:r>
                </w:p>
              </w:tc>
              <w:tc>
                <w:tcPr>
                  <w:tcW w:w="276" w:type="pct"/>
                  <w:shd w:val="clear" w:color="auto" w:fill="auto"/>
                  <w:noWrap/>
                  <w:vAlign w:val="center"/>
                </w:tcPr>
                <w:p w14:paraId="4B38D5FA">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0.064</w:t>
                  </w:r>
                </w:p>
              </w:tc>
              <w:tc>
                <w:tcPr>
                  <w:tcW w:w="276" w:type="pct"/>
                  <w:shd w:val="clear" w:color="auto" w:fill="auto"/>
                  <w:noWrap/>
                  <w:vAlign w:val="center"/>
                </w:tcPr>
                <w:p w14:paraId="5E75AD9D">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3.40</w:t>
                  </w:r>
                </w:p>
              </w:tc>
              <w:tc>
                <w:tcPr>
                  <w:tcW w:w="239" w:type="pct"/>
                  <w:shd w:val="clear" w:color="auto" w:fill="auto"/>
                  <w:noWrap/>
                  <w:vAlign w:val="center"/>
                </w:tcPr>
                <w:p w14:paraId="6392390C">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0.0925</w:t>
                  </w:r>
                </w:p>
              </w:tc>
              <w:tc>
                <w:tcPr>
                  <w:tcW w:w="239" w:type="pct"/>
                  <w:shd w:val="clear" w:color="auto" w:fill="auto"/>
                  <w:noWrap/>
                  <w:vAlign w:val="center"/>
                </w:tcPr>
                <w:p w14:paraId="7BA37977">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0.0710</w:t>
                  </w:r>
                </w:p>
              </w:tc>
              <w:tc>
                <w:tcPr>
                  <w:tcW w:w="239" w:type="pct"/>
                  <w:shd w:val="clear" w:color="auto" w:fill="auto"/>
                  <w:noWrap/>
                  <w:vAlign w:val="center"/>
                </w:tcPr>
                <w:p w14:paraId="4977D0F4">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0.0099</w:t>
                  </w:r>
                </w:p>
              </w:tc>
              <w:tc>
                <w:tcPr>
                  <w:tcW w:w="239" w:type="pct"/>
                  <w:shd w:val="clear" w:color="auto" w:fill="auto"/>
                  <w:noWrap/>
                  <w:vAlign w:val="center"/>
                </w:tcPr>
                <w:p w14:paraId="1497EAE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13" w:type="pct"/>
                  <w:shd w:val="clear" w:color="auto" w:fill="auto"/>
                  <w:noWrap/>
                  <w:vAlign w:val="center"/>
                </w:tcPr>
                <w:p w14:paraId="231B2D4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0.0011</w:t>
                  </w:r>
                </w:p>
              </w:tc>
              <w:tc>
                <w:tcPr>
                  <w:tcW w:w="258" w:type="pct"/>
                  <w:shd w:val="clear" w:color="auto" w:fill="auto"/>
                  <w:noWrap/>
                  <w:vAlign w:val="center"/>
                </w:tcPr>
                <w:p w14:paraId="64A3FD30">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1.000</w:t>
                  </w:r>
                </w:p>
              </w:tc>
              <w:tc>
                <w:tcPr>
                  <w:tcW w:w="240" w:type="pct"/>
                  <w:shd w:val="clear" w:color="auto" w:fill="auto"/>
                  <w:noWrap/>
                  <w:vAlign w:val="center"/>
                </w:tcPr>
                <w:p w14:paraId="02350DD5">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0.0100</w:t>
                  </w:r>
                </w:p>
              </w:tc>
            </w:tr>
            <w:tr w14:paraId="2238D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continue"/>
                  <w:shd w:val="clear" w:color="auto" w:fill="auto"/>
                  <w:noWrap/>
                  <w:vAlign w:val="center"/>
                </w:tcPr>
                <w:p w14:paraId="3184D057">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p>
              </w:tc>
              <w:tc>
                <w:tcPr>
                  <w:tcW w:w="239" w:type="pct"/>
                  <w:shd w:val="clear" w:color="auto" w:fill="auto"/>
                  <w:noWrap/>
                  <w:vAlign w:val="center"/>
                </w:tcPr>
                <w:p w14:paraId="4F39652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最小值</w:t>
                  </w:r>
                </w:p>
              </w:tc>
              <w:tc>
                <w:tcPr>
                  <w:tcW w:w="239" w:type="pct"/>
                  <w:shd w:val="clear" w:color="auto" w:fill="auto"/>
                  <w:noWrap/>
                  <w:vAlign w:val="center"/>
                </w:tcPr>
                <w:p w14:paraId="67E9A6C9">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76" w:type="pct"/>
                  <w:shd w:val="clear" w:color="auto" w:fill="auto"/>
                  <w:noWrap/>
                  <w:vAlign w:val="center"/>
                </w:tcPr>
                <w:p w14:paraId="09B05A45">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13" w:type="pct"/>
                  <w:shd w:val="clear" w:color="auto" w:fill="auto"/>
                  <w:noWrap/>
                  <w:vAlign w:val="center"/>
                </w:tcPr>
                <w:p w14:paraId="4D83B619">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51" w:type="pct"/>
                  <w:shd w:val="clear" w:color="auto" w:fill="auto"/>
                  <w:noWrap/>
                  <w:vAlign w:val="center"/>
                </w:tcPr>
                <w:p w14:paraId="50EDBD4A">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58" w:type="pct"/>
                  <w:shd w:val="clear" w:color="auto" w:fill="auto"/>
                  <w:noWrap/>
                  <w:vAlign w:val="center"/>
                </w:tcPr>
                <w:p w14:paraId="4B83A26A">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95" w:type="pct"/>
                  <w:shd w:val="clear" w:color="auto" w:fill="auto"/>
                  <w:noWrap/>
                  <w:vAlign w:val="center"/>
                </w:tcPr>
                <w:p w14:paraId="13FA90E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0.04</w:t>
                  </w:r>
                </w:p>
              </w:tc>
              <w:tc>
                <w:tcPr>
                  <w:tcW w:w="276" w:type="pct"/>
                  <w:shd w:val="clear" w:color="auto" w:fill="auto"/>
                  <w:noWrap/>
                  <w:vAlign w:val="center"/>
                </w:tcPr>
                <w:p w14:paraId="0E94CF73">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76" w:type="pct"/>
                  <w:shd w:val="clear" w:color="auto" w:fill="auto"/>
                  <w:noWrap/>
                  <w:vAlign w:val="center"/>
                </w:tcPr>
                <w:p w14:paraId="7DE71BBB">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76" w:type="pct"/>
                  <w:shd w:val="clear" w:color="auto" w:fill="auto"/>
                  <w:noWrap/>
                  <w:vAlign w:val="center"/>
                </w:tcPr>
                <w:p w14:paraId="261FD48A">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2E29727F">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071A4D1A">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170CA58E">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39" w:type="pct"/>
                  <w:shd w:val="clear" w:color="auto" w:fill="auto"/>
                  <w:noWrap/>
                  <w:vAlign w:val="center"/>
                </w:tcPr>
                <w:p w14:paraId="5B37FA8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13" w:type="pct"/>
                  <w:shd w:val="clear" w:color="auto" w:fill="auto"/>
                  <w:noWrap/>
                  <w:vAlign w:val="center"/>
                </w:tcPr>
                <w:p w14:paraId="0D92BA87">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58" w:type="pct"/>
                  <w:shd w:val="clear" w:color="auto" w:fill="auto"/>
                  <w:noWrap/>
                  <w:vAlign w:val="center"/>
                </w:tcPr>
                <w:p w14:paraId="510A8A55">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240" w:type="pct"/>
                  <w:shd w:val="clear" w:color="auto" w:fill="auto"/>
                  <w:noWrap/>
                  <w:vAlign w:val="center"/>
                </w:tcPr>
                <w:p w14:paraId="1C69CF0D">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r>
            <w:tr w14:paraId="4A8AB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22" w:type="pct"/>
                  <w:vMerge w:val="continue"/>
                  <w:shd w:val="clear" w:color="auto" w:fill="auto"/>
                  <w:noWrap/>
                  <w:vAlign w:val="center"/>
                </w:tcPr>
                <w:p w14:paraId="7975B0C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p>
              </w:tc>
              <w:tc>
                <w:tcPr>
                  <w:tcW w:w="239" w:type="pct"/>
                  <w:shd w:val="clear" w:color="auto" w:fill="auto"/>
                  <w:noWrap/>
                  <w:vAlign w:val="center"/>
                </w:tcPr>
                <w:p w14:paraId="330AF39F">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均值</w:t>
                  </w:r>
                </w:p>
              </w:tc>
              <w:tc>
                <w:tcPr>
                  <w:tcW w:w="239" w:type="pct"/>
                  <w:shd w:val="clear" w:color="auto" w:fill="auto"/>
                  <w:noWrap/>
                  <w:vAlign w:val="center"/>
                </w:tcPr>
                <w:p w14:paraId="4630D907">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13.2</w:t>
                  </w:r>
                </w:p>
              </w:tc>
              <w:tc>
                <w:tcPr>
                  <w:tcW w:w="276" w:type="pct"/>
                  <w:shd w:val="clear" w:color="auto" w:fill="auto"/>
                  <w:noWrap/>
                  <w:vAlign w:val="center"/>
                </w:tcPr>
                <w:p w14:paraId="5B02B935">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w:t>
                  </w:r>
                </w:p>
              </w:tc>
              <w:tc>
                <w:tcPr>
                  <w:tcW w:w="313" w:type="pct"/>
                  <w:shd w:val="clear" w:color="auto" w:fill="auto"/>
                  <w:noWrap/>
                  <w:vAlign w:val="center"/>
                </w:tcPr>
                <w:p w14:paraId="12881407">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10.1</w:t>
                  </w:r>
                </w:p>
              </w:tc>
              <w:tc>
                <w:tcPr>
                  <w:tcW w:w="351" w:type="pct"/>
                  <w:shd w:val="clear" w:color="auto" w:fill="auto"/>
                  <w:noWrap/>
                  <w:vAlign w:val="center"/>
                </w:tcPr>
                <w:p w14:paraId="097507FE">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248.1</w:t>
                  </w:r>
                </w:p>
              </w:tc>
              <w:tc>
                <w:tcPr>
                  <w:tcW w:w="258" w:type="pct"/>
                  <w:shd w:val="clear" w:color="auto" w:fill="auto"/>
                  <w:noWrap/>
                  <w:vAlign w:val="center"/>
                </w:tcPr>
                <w:p w14:paraId="69C05EA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3.4</w:t>
                  </w:r>
                </w:p>
              </w:tc>
              <w:tc>
                <w:tcPr>
                  <w:tcW w:w="295" w:type="pct"/>
                  <w:shd w:val="clear" w:color="auto" w:fill="auto"/>
                  <w:noWrap/>
                  <w:vAlign w:val="center"/>
                </w:tcPr>
                <w:p w14:paraId="13FB520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0.9</w:t>
                  </w:r>
                </w:p>
              </w:tc>
              <w:tc>
                <w:tcPr>
                  <w:tcW w:w="276" w:type="pct"/>
                  <w:shd w:val="clear" w:color="auto" w:fill="auto"/>
                  <w:noWrap/>
                  <w:vAlign w:val="center"/>
                </w:tcPr>
                <w:p w14:paraId="2B85D272">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0.10</w:t>
                  </w:r>
                </w:p>
              </w:tc>
              <w:tc>
                <w:tcPr>
                  <w:tcW w:w="276" w:type="pct"/>
                  <w:shd w:val="clear" w:color="auto" w:fill="auto"/>
                  <w:noWrap/>
                  <w:vAlign w:val="center"/>
                </w:tcPr>
                <w:p w14:paraId="47E7305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0.051</w:t>
                  </w:r>
                </w:p>
              </w:tc>
              <w:tc>
                <w:tcPr>
                  <w:tcW w:w="276" w:type="pct"/>
                  <w:shd w:val="clear" w:color="auto" w:fill="auto"/>
                  <w:noWrap/>
                  <w:vAlign w:val="center"/>
                </w:tcPr>
                <w:p w14:paraId="0B3633AE">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1.73</w:t>
                  </w:r>
                </w:p>
              </w:tc>
              <w:tc>
                <w:tcPr>
                  <w:tcW w:w="239" w:type="pct"/>
                  <w:shd w:val="clear" w:color="auto" w:fill="auto"/>
                  <w:noWrap/>
                  <w:vAlign w:val="center"/>
                </w:tcPr>
                <w:p w14:paraId="396944EC">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0.0016</w:t>
                  </w:r>
                </w:p>
              </w:tc>
              <w:tc>
                <w:tcPr>
                  <w:tcW w:w="239" w:type="pct"/>
                  <w:shd w:val="clear" w:color="auto" w:fill="auto"/>
                  <w:noWrap/>
                  <w:vAlign w:val="center"/>
                </w:tcPr>
                <w:p w14:paraId="1685D9BE">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0.0063</w:t>
                  </w:r>
                </w:p>
              </w:tc>
              <w:tc>
                <w:tcPr>
                  <w:tcW w:w="239" w:type="pct"/>
                  <w:shd w:val="clear" w:color="auto" w:fill="auto"/>
                  <w:noWrap/>
                  <w:vAlign w:val="center"/>
                </w:tcPr>
                <w:p w14:paraId="27FF16DB">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0.0075</w:t>
                  </w:r>
                </w:p>
              </w:tc>
              <w:tc>
                <w:tcPr>
                  <w:tcW w:w="239" w:type="pct"/>
                  <w:shd w:val="clear" w:color="auto" w:fill="auto"/>
                  <w:noWrap/>
                  <w:vAlign w:val="center"/>
                </w:tcPr>
                <w:p w14:paraId="001C9851">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w:t>
                  </w:r>
                </w:p>
              </w:tc>
              <w:tc>
                <w:tcPr>
                  <w:tcW w:w="313" w:type="pct"/>
                  <w:shd w:val="clear" w:color="auto" w:fill="auto"/>
                  <w:noWrap/>
                  <w:vAlign w:val="center"/>
                </w:tcPr>
                <w:p w14:paraId="640C1D36">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0.0003</w:t>
                  </w:r>
                </w:p>
              </w:tc>
              <w:tc>
                <w:tcPr>
                  <w:tcW w:w="258" w:type="pct"/>
                  <w:shd w:val="clear" w:color="auto" w:fill="auto"/>
                  <w:noWrap/>
                  <w:vAlign w:val="center"/>
                </w:tcPr>
                <w:p w14:paraId="3FC98CE4">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0.086</w:t>
                  </w:r>
                </w:p>
              </w:tc>
              <w:tc>
                <w:tcPr>
                  <w:tcW w:w="240" w:type="pct"/>
                  <w:shd w:val="clear" w:color="auto" w:fill="auto"/>
                  <w:noWrap/>
                  <w:vAlign w:val="center"/>
                </w:tcPr>
                <w:p w14:paraId="322EDAC0">
                  <w:pPr>
                    <w:widowControl/>
                    <w:ind w:left="-105" w:leftChars="-50" w:right="-105" w:rightChars="-5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0.00993</w:t>
                  </w:r>
                </w:p>
              </w:tc>
            </w:tr>
          </w:tbl>
          <w:p w14:paraId="475B84C6">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由上表可知，</w:t>
            </w:r>
            <w:r>
              <w:rPr>
                <w:rFonts w:hint="default" w:ascii="Times New Roman" w:hAnsi="Times New Roman" w:cs="Times New Roman"/>
                <w:color w:val="000000" w:themeColor="text1"/>
                <w:sz w:val="24"/>
                <w:highlight w:val="none"/>
                <w:u w:val="single"/>
                <w14:textFill>
                  <w14:solidFill>
                    <w14:schemeClr w14:val="tx1"/>
                  </w14:solidFill>
                </w14:textFill>
              </w:rPr>
              <w:t>大浦水质监测上游站、大浦水质监测下游站</w:t>
            </w:r>
            <w:r>
              <w:rPr>
                <w:rFonts w:hint="default" w:ascii="Times New Roman" w:hAnsi="Times New Roman" w:cs="Times New Roman"/>
                <w:color w:val="000000" w:themeColor="text1"/>
                <w:sz w:val="24"/>
                <w:highlight w:val="none"/>
                <w:u w:val="single"/>
                <w14:textFill>
                  <w14:solidFill>
                    <w14:schemeClr w14:val="tx1"/>
                  </w14:solidFill>
                </w14:textFill>
              </w:rPr>
              <w:t>水质均满足相应水环境功能区标准。</w:t>
            </w:r>
          </w:p>
          <w:p w14:paraId="1D0176ED">
            <w:pPr>
              <w:spacing w:line="360" w:lineRule="auto"/>
              <w:ind w:firstLine="482" w:firstLineChars="200"/>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三、声环境质量现状</w:t>
            </w:r>
          </w:p>
          <w:p w14:paraId="5C3C1127">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本项目位于工业园区内，</w:t>
            </w:r>
            <w:r>
              <w:rPr>
                <w:rFonts w:hint="default" w:ascii="Times New Roman" w:hAnsi="Times New Roman" w:cs="Times New Roman"/>
                <w:color w:val="000000" w:themeColor="text1"/>
                <w:kern w:val="0"/>
                <w:szCs w:val="20"/>
                <w:highlight w:val="none"/>
                <w14:textFill>
                  <w14:solidFill>
                    <w14:schemeClr w14:val="tx1"/>
                  </w14:solidFill>
                </w14:textFill>
              </w:rPr>
              <w:t>根据《建设项目环境影响报告表编制技术指南 （污染影响类）》（试行）可知，50m无声环境敏感点分布，可不开展声环境现状调查。</w:t>
            </w:r>
          </w:p>
          <w:p w14:paraId="076AE1B5">
            <w:pPr>
              <w:spacing w:line="360" w:lineRule="auto"/>
              <w:ind w:firstLine="482" w:firstLineChars="200"/>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四、地下水环境质量现状</w:t>
            </w:r>
          </w:p>
          <w:p w14:paraId="2A619CBF">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"http://www.gepresearch.com/uploads/soft/210104/1_1746581341.pdf" \t "http://www.gepresearch.com/76/_blank"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建设项目环境影响报告表编制技术指南（污染影响类）（试行）</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》中具体编制要求“原则上不开展环境质量现状调查。建设项目存在地下水环境污染途径的，应结合污染源、保护目标分布情况开展现状调查以留作背景值。”</w:t>
            </w:r>
          </w:p>
          <w:p w14:paraId="7DC70381">
            <w:pPr>
              <w:pStyle w:val="66"/>
              <w:tabs>
                <w:tab w:val="left" w:pos="1021"/>
              </w:tabs>
              <w:spacing w:after="0"/>
              <w:ind w:left="0" w:leftChars="0" w:firstLine="48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结合现场调查及工艺分析，项目主要产污环节是打磨、抛丸、喷漆等工艺，生产车间地面硬化，依托的危废暂存间已按要求进行防渗处理，地面做好硬化及“三防”措施（防扬散、防流失、防渗漏）。同时依据《环境影响评价技术导则  地下水环境》（HJ610-2016），本项目属于</w:t>
            </w:r>
            <w:r>
              <w:rPr>
                <w:rFonts w:hint="default" w:ascii="Times New Roman" w:hAnsi="Times New Roman" w:cs="Times New Roman"/>
                <w:color w:val="000000" w:themeColor="text1"/>
                <w:highlight w:val="none"/>
                <w14:textFill>
                  <w14:solidFill>
                    <w14:schemeClr w14:val="tx1"/>
                  </w14:solidFill>
                </w14:textFill>
              </w:rPr>
              <w:t>I 金属制品；表面处理及热处理加工及K 机械、电子；有电镀或喷漆工艺的；电池制造（无汞干电池除外）</w:t>
            </w:r>
            <w:r>
              <w:rPr>
                <w:rFonts w:hint="default" w:ascii="Times New Roman" w:hAnsi="Times New Roman" w:cs="Times New Roman"/>
                <w:color w:val="000000" w:themeColor="text1"/>
                <w:highlight w:val="none"/>
                <w14:textFill>
                  <w14:solidFill>
                    <w14:schemeClr w14:val="tx1"/>
                  </w14:solidFill>
                </w14:textFill>
              </w:rPr>
              <w:t>，地下水环境影响评价项目类别为Ⅳ类，可不开展地下水环境质量现状调查。</w:t>
            </w:r>
          </w:p>
          <w:p w14:paraId="56DE6DF0">
            <w:pPr>
              <w:spacing w:line="360" w:lineRule="auto"/>
              <w:ind w:firstLine="482" w:firstLineChars="200"/>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五、土壤环境质量现状</w:t>
            </w:r>
          </w:p>
          <w:p w14:paraId="2E2C769E">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"http://www.gepresearch.com/uploads/soft/210104/1_1746581341.pdf" \t "http://www.gepresearch.com/76/_blank"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建设项目环境影响报告表编制技术指南（污染影响类）（试行）</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》中具体编制要求“原则上不开展环境质量现状调查。建设项目存在土壤环境污染途径的，应结合污染源、保护目标分布情况开展现状调查以留作背景值。”</w:t>
            </w:r>
          </w:p>
          <w:p w14:paraId="7ACF4A7C">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结合现场调查及工艺分析，本项目位于大浦经开区内，项目主要产污环节是打磨、抛丸、喷漆等工艺，生产车间地面硬化，依托的危废暂存间按要求进行防渗处理，地面做好硬化及“三防”措施（防扬散、防流失、防渗漏）。</w:t>
            </w:r>
          </w:p>
          <w:p w14:paraId="7D6974FF">
            <w:pPr>
              <w:spacing w:line="360" w:lineRule="auto"/>
              <w:ind w:firstLine="482" w:firstLineChars="200"/>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六、生态环境质量现状</w:t>
            </w:r>
          </w:p>
          <w:p w14:paraId="51BA67E0">
            <w:pPr>
              <w:pStyle w:val="66"/>
              <w:tabs>
                <w:tab w:val="left" w:pos="1021"/>
              </w:tabs>
              <w:spacing w:after="0"/>
              <w:ind w:left="0" w:leftChars="0" w:firstLine="48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"http://www.gepresearch.com/uploads/soft/210104/1_1746581341.pdf" \t "http://www.gepresearch.com/76/_blank"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建设项目环境影响报告表编制技术指南（污染影响类）（试行）</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》中具体编制要求，本项目所在区域为衡东</w:t>
            </w:r>
            <w:r>
              <w:rPr>
                <w:rFonts w:hint="default" w:ascii="Times New Roman" w:hAnsi="Times New Roman" w:cs="Times New Roman"/>
                <w:color w:val="000000" w:themeColor="text1"/>
                <w:szCs w:val="24"/>
                <w:highlight w:val="none"/>
                <w14:textFill>
                  <w14:solidFill>
                    <w14:schemeClr w14:val="tx1"/>
                  </w14:solidFill>
                </w14:textFill>
              </w:rPr>
              <w:t>经开区</w:t>
            </w:r>
            <w:r>
              <w:rPr>
                <w:rFonts w:hint="default" w:ascii="Times New Roman" w:hAnsi="Times New Roman" w:cs="Times New Roman"/>
                <w:color w:val="000000" w:themeColor="text1"/>
                <w:highlight w:val="none"/>
                <w14:textFill>
                  <w14:solidFill>
                    <w14:schemeClr w14:val="tx1"/>
                  </w14:solidFill>
                </w14:textFill>
              </w:rPr>
              <w:t>，主要树种为城市园林绿化，街道和空隙地的观赏树木和花草。区域内野生动物主要有青蛙、壁虎及麻雀等鸟类。据调查未发现珍稀濒危等需要特殊保护的野生动植物。本项目不需要开展生态环境现状调查。</w:t>
            </w:r>
          </w:p>
          <w:p w14:paraId="772FE559">
            <w:pPr>
              <w:spacing w:line="360" w:lineRule="auto"/>
              <w:ind w:firstLine="482" w:firstLineChars="200"/>
              <w:jc w:val="left"/>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七、电磁辐射</w:t>
            </w:r>
          </w:p>
          <w:p w14:paraId="037E7388">
            <w:pPr>
              <w:pStyle w:val="66"/>
              <w:tabs>
                <w:tab w:val="left" w:pos="1021"/>
              </w:tabs>
              <w:spacing w:after="0"/>
              <w:ind w:left="0" w:leftChars="0"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w:t>
            </w:r>
            <w:r>
              <w:rPr>
                <w:rFonts w:hint="default" w:ascii="Times New Roman" w:hAnsi="Times New Roman" w:cs="Times New Roman"/>
                <w:color w:val="000000" w:themeColor="text1"/>
                <w:highlight w:val="none"/>
                <w14:textFill>
                  <w14:solidFill>
                    <w14:schemeClr w14:val="tx1"/>
                  </w14:solidFill>
                </w14:textFill>
              </w:rPr>
              <w:fldChar w:fldCharType="begin"/>
            </w:r>
            <w:r>
              <w:rPr>
                <w:rFonts w:hint="default" w:ascii="Times New Roman" w:hAnsi="Times New Roman" w:cs="Times New Roman"/>
                <w:color w:val="000000" w:themeColor="text1"/>
                <w:highlight w:val="none"/>
                <w14:textFill>
                  <w14:solidFill>
                    <w14:schemeClr w14:val="tx1"/>
                  </w14:solidFill>
                </w14:textFill>
              </w:rPr>
              <w:instrText xml:space="preserve"> HYPERLINK "http://www.gepresearch.com/uploads/soft/210104/1_1746581341.pdf" \t "http://www.gepresearch.com/76/_blank" </w:instrText>
            </w:r>
            <w:r>
              <w:rPr>
                <w:rFonts w:hint="default" w:ascii="Times New Roman" w:hAnsi="Times New Roman" w:cs="Times New Roman"/>
                <w:color w:val="000000" w:themeColor="text1"/>
                <w:highlight w:val="none"/>
                <w14:textFill>
                  <w14:solidFill>
                    <w14:schemeClr w14:val="tx1"/>
                  </w14:solidFill>
                </w14:textFill>
              </w:rPr>
              <w:fldChar w:fldCharType="separate"/>
            </w:r>
            <w:r>
              <w:rPr>
                <w:rFonts w:hint="default" w:ascii="Times New Roman" w:hAnsi="Times New Roman" w:cs="Times New Roman"/>
                <w:color w:val="000000" w:themeColor="text1"/>
                <w:highlight w:val="none"/>
                <w14:textFill>
                  <w14:solidFill>
                    <w14:schemeClr w14:val="tx1"/>
                  </w14:solidFill>
                </w14:textFill>
              </w:rPr>
              <w:t>建设项目环境影响报告表编制技术指南（污染影响类）（试行）</w:t>
            </w:r>
            <w:r>
              <w:rPr>
                <w:rFonts w:hint="default" w:ascii="Times New Roman" w:hAnsi="Times New Roman" w:cs="Times New Roman"/>
                <w:color w:val="000000" w:themeColor="text1"/>
                <w:highlight w:val="none"/>
                <w14:textFill>
                  <w14:solidFill>
                    <w14:schemeClr w14:val="tx1"/>
                  </w14:solidFill>
                </w14:textFill>
              </w:rPr>
              <w:fldChar w:fldCharType="end"/>
            </w:r>
            <w:r>
              <w:rPr>
                <w:rFonts w:hint="default" w:ascii="Times New Roman" w:hAnsi="Times New Roman" w:cs="Times New Roman"/>
                <w:color w:val="000000" w:themeColor="text1"/>
                <w:highlight w:val="none"/>
                <w14:textFill>
                  <w14:solidFill>
                    <w14:schemeClr w14:val="tx1"/>
                  </w14:solidFill>
                </w14:textFill>
              </w:rPr>
              <w:t>》中新建或改建、扩建广播电台、差转台、电视塔台、卫星地球上行站、雷达等电磁辐射类项目，应根据相关技术导则对项目电磁辐射现状开展监测与评价。</w:t>
            </w:r>
          </w:p>
          <w:p w14:paraId="2522E6F9">
            <w:pPr>
              <w:pStyle w:val="66"/>
              <w:tabs>
                <w:tab w:val="left" w:pos="1021"/>
              </w:tabs>
              <w:spacing w:after="0"/>
              <w:ind w:left="0" w:leftChars="0" w:firstLine="48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本项目不属于电磁辐射类项目，因此不开展电磁辐射现状监测与评价。</w:t>
            </w:r>
          </w:p>
        </w:tc>
      </w:tr>
      <w:tr w14:paraId="3257A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800" w:type="dxa"/>
            <w:vAlign w:val="center"/>
          </w:tcPr>
          <w:p w14:paraId="72DC4322">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环境</w:t>
            </w:r>
          </w:p>
          <w:p w14:paraId="07087507">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保护</w:t>
            </w:r>
          </w:p>
          <w:p w14:paraId="6A7E42D1">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目标</w:t>
            </w:r>
          </w:p>
        </w:tc>
        <w:tc>
          <w:tcPr>
            <w:tcW w:w="8190" w:type="dxa"/>
            <w:vAlign w:val="center"/>
          </w:tcPr>
          <w:p w14:paraId="08D62B63">
            <w:pPr>
              <w:widowControl/>
              <w:spacing w:line="360" w:lineRule="auto"/>
              <w:ind w:firstLine="480" w:firstLineChars="200"/>
              <w:jc w:val="left"/>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建设项目环境影响报告表编制技术指南（污染影响类）（试行）》，大气环境为明确厂界外500米范围内的自然保护区、风景名胜区、居住区、文化区和农村地区中人群较集中的区域等保护目标的名称及与建设项目厂界位置关系。声环境保护目标为明确厂界外50米范围内。该项目厂界外500米范围内无地下水集中式引用水水源和热水、矿泉水、温泉等特殊地下水资源，故不设置地下水环境保护目标。本项目不新增用地，故不设置生态环境保护目标。</w:t>
            </w:r>
          </w:p>
          <w:p w14:paraId="1B4B382E">
            <w:pPr>
              <w:spacing w:line="360" w:lineRule="auto"/>
              <w:ind w:firstLine="480" w:firstLineChars="200"/>
              <w:rPr>
                <w:rFonts w:hint="default" w:ascii="Times New Roman" w:hAnsi="Times New Roman" w:cs="Times New Roman"/>
                <w:b/>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本项目主要环保目标见表3-</w:t>
            </w:r>
            <w:r>
              <w:rPr>
                <w:rFonts w:hint="default" w:ascii="Times New Roman" w:hAnsi="Times New Roman" w:cs="Times New Roman"/>
                <w:color w:val="000000" w:themeColor="text1"/>
                <w:sz w:val="24"/>
                <w:highlight w:val="none"/>
                <w:u w:val="single"/>
                <w14:textFill>
                  <w14:solidFill>
                    <w14:schemeClr w14:val="tx1"/>
                  </w14:solidFill>
                </w14:textFill>
              </w:rPr>
              <w:t>6</w:t>
            </w:r>
            <w:r>
              <w:rPr>
                <w:rFonts w:hint="default" w:ascii="Times New Roman" w:hAnsi="Times New Roman" w:cs="Times New Roman"/>
                <w:color w:val="000000" w:themeColor="text1"/>
                <w:sz w:val="24"/>
                <w:highlight w:val="none"/>
                <w:u w:val="single"/>
                <w14:textFill>
                  <w14:solidFill>
                    <w14:schemeClr w14:val="tx1"/>
                  </w14:solidFill>
                </w14:textFill>
              </w:rPr>
              <w:t>。</w:t>
            </w:r>
            <w:bookmarkStart w:id="62" w:name="_Toc302485173"/>
          </w:p>
          <w:p w14:paraId="2FB6ED91">
            <w:pPr>
              <w:snapToGrid w:val="0"/>
              <w:spacing w:line="360" w:lineRule="auto"/>
              <w:jc w:val="center"/>
              <w:rPr>
                <w:rFonts w:hint="default" w:ascii="Times New Roman" w:hAnsi="Times New Roman" w:cs="Times New Roman"/>
                <w:b/>
                <w:color w:val="000000" w:themeColor="text1"/>
                <w:szCs w:val="21"/>
                <w:highlight w:val="none"/>
                <w:u w:val="single"/>
                <w14:textFill>
                  <w14:solidFill>
                    <w14:schemeClr w14:val="tx1"/>
                  </w14:solidFill>
                </w14:textFill>
              </w:rPr>
            </w:pPr>
            <w:r>
              <w:rPr>
                <w:rFonts w:hint="default" w:ascii="Times New Roman" w:hAnsi="Times New Roman" w:cs="Times New Roman"/>
                <w:b/>
                <w:color w:val="000000" w:themeColor="text1"/>
                <w:szCs w:val="21"/>
                <w:highlight w:val="none"/>
                <w:u w:val="single"/>
                <w14:textFill>
                  <w14:solidFill>
                    <w14:schemeClr w14:val="tx1"/>
                  </w14:solidFill>
                </w14:textFill>
              </w:rPr>
              <w:t>表3-</w:t>
            </w:r>
            <w:r>
              <w:rPr>
                <w:rFonts w:hint="default" w:ascii="Times New Roman" w:hAnsi="Times New Roman" w:cs="Times New Roman"/>
                <w:b/>
                <w:color w:val="000000" w:themeColor="text1"/>
                <w:szCs w:val="21"/>
                <w:highlight w:val="none"/>
                <w:u w:val="single"/>
                <w14:textFill>
                  <w14:solidFill>
                    <w14:schemeClr w14:val="tx1"/>
                  </w14:solidFill>
                </w14:textFill>
              </w:rPr>
              <w:t>6</w:t>
            </w:r>
            <w:r>
              <w:rPr>
                <w:rFonts w:hint="default" w:ascii="Times New Roman" w:hAnsi="Times New Roman" w:cs="Times New Roman"/>
                <w:b/>
                <w:color w:val="000000" w:themeColor="text1"/>
                <w:szCs w:val="21"/>
                <w:highlight w:val="none"/>
                <w:u w:val="single"/>
                <w14:textFill>
                  <w14:solidFill>
                    <w14:schemeClr w14:val="tx1"/>
                  </w14:solidFill>
                </w14:textFill>
              </w:rPr>
              <w:t xml:space="preserve">    环境保护目标一览表</w:t>
            </w:r>
          </w:p>
          <w:bookmarkEnd w:id="62"/>
          <w:tbl>
            <w:tblPr>
              <w:tblStyle w:val="34"/>
              <w:tblW w:w="7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1029"/>
              <w:gridCol w:w="1085"/>
              <w:gridCol w:w="1333"/>
              <w:gridCol w:w="883"/>
              <w:gridCol w:w="636"/>
              <w:gridCol w:w="960"/>
              <w:gridCol w:w="1523"/>
            </w:tblGrid>
            <w:tr w14:paraId="50AA0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0" w:hRule="atLeast"/>
              </w:trPr>
              <w:tc>
                <w:tcPr>
                  <w:tcW w:w="529" w:type="dxa"/>
                  <w:vAlign w:val="center"/>
                </w:tcPr>
                <w:p w14:paraId="17C497A3">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类别</w:t>
                  </w:r>
                </w:p>
              </w:tc>
              <w:tc>
                <w:tcPr>
                  <w:tcW w:w="1029" w:type="dxa"/>
                  <w:vAlign w:val="center"/>
                </w:tcPr>
                <w:p w14:paraId="6BFA186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环境保护敏感点</w:t>
                  </w:r>
                </w:p>
              </w:tc>
              <w:tc>
                <w:tcPr>
                  <w:tcW w:w="2418" w:type="dxa"/>
                  <w:gridSpan w:val="2"/>
                  <w:vAlign w:val="center"/>
                </w:tcPr>
                <w:p w14:paraId="7486757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位置坐标</w:t>
                  </w:r>
                </w:p>
              </w:tc>
              <w:tc>
                <w:tcPr>
                  <w:tcW w:w="883" w:type="dxa"/>
                  <w:vAlign w:val="center"/>
                </w:tcPr>
                <w:p w14:paraId="6554440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规模与特征</w:t>
                  </w:r>
                </w:p>
              </w:tc>
              <w:tc>
                <w:tcPr>
                  <w:tcW w:w="636" w:type="dxa"/>
                  <w:vAlign w:val="center"/>
                </w:tcPr>
                <w:p w14:paraId="6CC34BA9">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相对厂址方位</w:t>
                  </w:r>
                </w:p>
              </w:tc>
              <w:tc>
                <w:tcPr>
                  <w:tcW w:w="960" w:type="dxa"/>
                  <w:vAlign w:val="center"/>
                </w:tcPr>
                <w:p w14:paraId="1B3A814A">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相对厂界距离/m</w:t>
                  </w:r>
                </w:p>
              </w:tc>
              <w:tc>
                <w:tcPr>
                  <w:tcW w:w="1523" w:type="dxa"/>
                  <w:vAlign w:val="center"/>
                </w:tcPr>
                <w:p w14:paraId="2E7EC72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执行标准</w:t>
                  </w:r>
                </w:p>
              </w:tc>
            </w:tr>
            <w:tr w14:paraId="22B88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529" w:type="dxa"/>
                  <w:vMerge w:val="restart"/>
                  <w:vAlign w:val="center"/>
                </w:tcPr>
                <w:p w14:paraId="271841C0">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环境</w:t>
                  </w:r>
                </w:p>
                <w:p w14:paraId="689F365E">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空气</w:t>
                  </w:r>
                </w:p>
              </w:tc>
              <w:tc>
                <w:tcPr>
                  <w:tcW w:w="1029" w:type="dxa"/>
                  <w:vAlign w:val="center"/>
                </w:tcPr>
                <w:p w14:paraId="3EF5A943">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堰城村</w:t>
                  </w:r>
                </w:p>
              </w:tc>
              <w:tc>
                <w:tcPr>
                  <w:tcW w:w="1085" w:type="dxa"/>
                  <w:vAlign w:val="center"/>
                </w:tcPr>
                <w:p w14:paraId="716B4581">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112.819941</w:t>
                  </w:r>
                </w:p>
              </w:tc>
              <w:tc>
                <w:tcPr>
                  <w:tcW w:w="1333" w:type="dxa"/>
                  <w:vAlign w:val="center"/>
                </w:tcPr>
                <w:p w14:paraId="3B5661B8">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26.999090</w:t>
                  </w:r>
                </w:p>
              </w:tc>
              <w:tc>
                <w:tcPr>
                  <w:tcW w:w="883" w:type="dxa"/>
                  <w:vAlign w:val="center"/>
                </w:tcPr>
                <w:p w14:paraId="7BEFB36C">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20户80人</w:t>
                  </w:r>
                </w:p>
              </w:tc>
              <w:tc>
                <w:tcPr>
                  <w:tcW w:w="636" w:type="dxa"/>
                  <w:vAlign w:val="center"/>
                </w:tcPr>
                <w:p w14:paraId="35C31F6F">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E</w:t>
                  </w:r>
                </w:p>
              </w:tc>
              <w:tc>
                <w:tcPr>
                  <w:tcW w:w="960" w:type="dxa"/>
                  <w:vAlign w:val="center"/>
                </w:tcPr>
                <w:p w14:paraId="1999C011">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300~500</w:t>
                  </w:r>
                </w:p>
              </w:tc>
              <w:tc>
                <w:tcPr>
                  <w:tcW w:w="1523" w:type="dxa"/>
                  <w:vMerge w:val="restart"/>
                  <w:vAlign w:val="center"/>
                </w:tcPr>
                <w:p w14:paraId="3A69FE6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GB3095-2012</w:t>
                  </w:r>
                </w:p>
                <w:p w14:paraId="0F509D8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二级</w:t>
                  </w:r>
                </w:p>
              </w:tc>
            </w:tr>
            <w:tr w14:paraId="06DFC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529" w:type="dxa"/>
                  <w:vMerge w:val="continue"/>
                  <w:vAlign w:val="center"/>
                </w:tcPr>
                <w:p w14:paraId="1C8D5E6B">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1029" w:type="dxa"/>
                  <w:vAlign w:val="center"/>
                </w:tcPr>
                <w:p w14:paraId="766BE9C3">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长岭村</w:t>
                  </w:r>
                </w:p>
              </w:tc>
              <w:tc>
                <w:tcPr>
                  <w:tcW w:w="1085" w:type="dxa"/>
                  <w:vAlign w:val="center"/>
                </w:tcPr>
                <w:p w14:paraId="24F3D534">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112.812704</w:t>
                  </w:r>
                </w:p>
              </w:tc>
              <w:tc>
                <w:tcPr>
                  <w:tcW w:w="1333" w:type="dxa"/>
                  <w:vAlign w:val="center"/>
                </w:tcPr>
                <w:p w14:paraId="3946ED01">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26.993967</w:t>
                  </w:r>
                </w:p>
              </w:tc>
              <w:tc>
                <w:tcPr>
                  <w:tcW w:w="883" w:type="dxa"/>
                  <w:vAlign w:val="center"/>
                </w:tcPr>
                <w:p w14:paraId="70FF1348">
                  <w:pPr>
                    <w:pStyle w:val="58"/>
                    <w:spacing w:beforeLines="0" w:afterLines="0"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26户104人</w:t>
                  </w:r>
                </w:p>
              </w:tc>
              <w:tc>
                <w:tcPr>
                  <w:tcW w:w="636" w:type="dxa"/>
                  <w:vAlign w:val="center"/>
                </w:tcPr>
                <w:p w14:paraId="04939BC8">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S</w:t>
                  </w:r>
                </w:p>
              </w:tc>
              <w:tc>
                <w:tcPr>
                  <w:tcW w:w="960" w:type="dxa"/>
                  <w:vAlign w:val="center"/>
                </w:tcPr>
                <w:p w14:paraId="2DCC0D6A">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202~500</w:t>
                  </w:r>
                </w:p>
              </w:tc>
              <w:tc>
                <w:tcPr>
                  <w:tcW w:w="1523" w:type="dxa"/>
                  <w:vMerge w:val="continue"/>
                  <w:vAlign w:val="center"/>
                </w:tcPr>
                <w:p w14:paraId="082B7979">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r>
            <w:tr w14:paraId="2EBFC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dxa"/>
                  <w:vMerge w:val="continue"/>
                  <w:vAlign w:val="center"/>
                </w:tcPr>
                <w:p w14:paraId="511E24BD">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1029" w:type="dxa"/>
                  <w:vAlign w:val="center"/>
                </w:tcPr>
                <w:p w14:paraId="0C74497E">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尹家屋场</w:t>
                  </w:r>
                </w:p>
              </w:tc>
              <w:tc>
                <w:tcPr>
                  <w:tcW w:w="1085" w:type="dxa"/>
                  <w:vAlign w:val="center"/>
                </w:tcPr>
                <w:p w14:paraId="643430A7">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112.807029</w:t>
                  </w:r>
                </w:p>
              </w:tc>
              <w:tc>
                <w:tcPr>
                  <w:tcW w:w="1333" w:type="dxa"/>
                  <w:vAlign w:val="center"/>
                </w:tcPr>
                <w:p w14:paraId="413B5441">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26.996660</w:t>
                  </w:r>
                </w:p>
              </w:tc>
              <w:tc>
                <w:tcPr>
                  <w:tcW w:w="883" w:type="dxa"/>
                  <w:vAlign w:val="center"/>
                </w:tcPr>
                <w:p w14:paraId="1C1C166F">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20户80人</w:t>
                  </w:r>
                </w:p>
              </w:tc>
              <w:tc>
                <w:tcPr>
                  <w:tcW w:w="636" w:type="dxa"/>
                  <w:vAlign w:val="center"/>
                </w:tcPr>
                <w:p w14:paraId="7C956B79">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W</w:t>
                  </w:r>
                </w:p>
              </w:tc>
              <w:tc>
                <w:tcPr>
                  <w:tcW w:w="960" w:type="dxa"/>
                  <w:vAlign w:val="center"/>
                </w:tcPr>
                <w:p w14:paraId="0B490848">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283~500</w:t>
                  </w:r>
                </w:p>
              </w:tc>
              <w:tc>
                <w:tcPr>
                  <w:tcW w:w="1523" w:type="dxa"/>
                  <w:vMerge w:val="continue"/>
                  <w:vAlign w:val="center"/>
                </w:tcPr>
                <w:p w14:paraId="0BCF676F">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r>
            <w:tr w14:paraId="652D1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dxa"/>
                  <w:vMerge w:val="continue"/>
                  <w:vAlign w:val="center"/>
                </w:tcPr>
                <w:p w14:paraId="0E2BE073">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1029" w:type="dxa"/>
                  <w:vAlign w:val="center"/>
                </w:tcPr>
                <w:p w14:paraId="444E4CA1">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工业园倒班宿舍</w:t>
                  </w:r>
                </w:p>
              </w:tc>
              <w:tc>
                <w:tcPr>
                  <w:tcW w:w="1085" w:type="dxa"/>
                  <w:vAlign w:val="center"/>
                </w:tcPr>
                <w:p w14:paraId="0ADEA6D1">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112.810182</w:t>
                  </w:r>
                </w:p>
              </w:tc>
              <w:tc>
                <w:tcPr>
                  <w:tcW w:w="1333" w:type="dxa"/>
                  <w:vAlign w:val="center"/>
                </w:tcPr>
                <w:p w14:paraId="1AB249BD">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26.997270</w:t>
                  </w:r>
                </w:p>
              </w:tc>
              <w:tc>
                <w:tcPr>
                  <w:tcW w:w="883" w:type="dxa"/>
                  <w:vAlign w:val="center"/>
                </w:tcPr>
                <w:p w14:paraId="44C398C6">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2栋约400人</w:t>
                  </w:r>
                </w:p>
              </w:tc>
              <w:tc>
                <w:tcPr>
                  <w:tcW w:w="636" w:type="dxa"/>
                  <w:vAlign w:val="center"/>
                </w:tcPr>
                <w:p w14:paraId="1EC8B7DA">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W</w:t>
                  </w:r>
                </w:p>
              </w:tc>
              <w:tc>
                <w:tcPr>
                  <w:tcW w:w="960" w:type="dxa"/>
                  <w:vAlign w:val="center"/>
                </w:tcPr>
                <w:p w14:paraId="1541EA75">
                  <w:pPr>
                    <w:pStyle w:val="58"/>
                    <w:spacing w:before="24" w:after="24"/>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57</w:t>
                  </w:r>
                </w:p>
              </w:tc>
              <w:tc>
                <w:tcPr>
                  <w:tcW w:w="1523" w:type="dxa"/>
                  <w:vMerge w:val="continue"/>
                  <w:vAlign w:val="center"/>
                </w:tcPr>
                <w:p w14:paraId="1CCC5031">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r>
            <w:tr w14:paraId="22964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2" w:hRule="atLeast"/>
              </w:trPr>
              <w:tc>
                <w:tcPr>
                  <w:tcW w:w="529" w:type="dxa"/>
                  <w:vMerge w:val="restart"/>
                  <w:vAlign w:val="center"/>
                </w:tcPr>
                <w:p w14:paraId="0E0F0962">
                  <w:pPr>
                    <w:pStyle w:val="58"/>
                    <w:spacing w:beforeLines="0" w:afterLines="0" w:line="240" w:lineRule="auto"/>
                    <w:ind w:left="-105" w:leftChars="-50" w:right="-105" w:rightChars="-50"/>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地表水环境</w:t>
                  </w:r>
                </w:p>
              </w:tc>
              <w:tc>
                <w:tcPr>
                  <w:tcW w:w="3447" w:type="dxa"/>
                  <w:gridSpan w:val="3"/>
                  <w:vAlign w:val="center"/>
                </w:tcPr>
                <w:p w14:paraId="71E7AAC6">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湘江（大浦水厂取水口下游200米至湘华化工厂取水口上游1000米）</w:t>
                  </w:r>
                </w:p>
              </w:tc>
              <w:tc>
                <w:tcPr>
                  <w:tcW w:w="883" w:type="dxa"/>
                  <w:vAlign w:val="center"/>
                </w:tcPr>
                <w:p w14:paraId="5F8F5448">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渔业用水</w:t>
                  </w:r>
                </w:p>
              </w:tc>
              <w:tc>
                <w:tcPr>
                  <w:tcW w:w="636" w:type="dxa"/>
                  <w:vAlign w:val="center"/>
                </w:tcPr>
                <w:p w14:paraId="18A12CCB">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W</w:t>
                  </w:r>
                </w:p>
              </w:tc>
              <w:tc>
                <w:tcPr>
                  <w:tcW w:w="960" w:type="dxa"/>
                  <w:vAlign w:val="center"/>
                </w:tcPr>
                <w:p w14:paraId="7A402B07">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3680</w:t>
                  </w:r>
                </w:p>
              </w:tc>
              <w:tc>
                <w:tcPr>
                  <w:tcW w:w="1523" w:type="dxa"/>
                  <w:vAlign w:val="center"/>
                </w:tcPr>
                <w:p w14:paraId="0ABFB018">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GB38538-2002</w:t>
                  </w:r>
                </w:p>
                <w:p w14:paraId="76D348A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fldChar w:fldCharType="begin"/>
                  </w:r>
                  <w:r>
                    <w:rPr>
                      <w:rFonts w:hint="default" w:ascii="Times New Roman" w:hAnsi="Times New Roman" w:cs="Times New Roman"/>
                      <w:color w:val="000000" w:themeColor="text1"/>
                      <w:szCs w:val="21"/>
                      <w:highlight w:val="none"/>
                      <w:u w:val="single"/>
                      <w14:textFill>
                        <w14:solidFill>
                          <w14:schemeClr w14:val="tx1"/>
                        </w14:solidFill>
                      </w14:textFill>
                    </w:rPr>
                    <w:instrText xml:space="preserve"> = 3 \* ROMAN \* MERGEFORMAT </w:instrText>
                  </w:r>
                  <w:r>
                    <w:rPr>
                      <w:rFonts w:hint="default" w:ascii="Times New Roman" w:hAnsi="Times New Roman" w:cs="Times New Roman"/>
                      <w:color w:val="000000" w:themeColor="text1"/>
                      <w:szCs w:val="21"/>
                      <w:highlight w:val="none"/>
                      <w:u w:val="single"/>
                      <w14:textFill>
                        <w14:solidFill>
                          <w14:schemeClr w14:val="tx1"/>
                        </w14:solidFill>
                      </w14:textFill>
                    </w:rPr>
                    <w:fldChar w:fldCharType="separate"/>
                  </w:r>
                  <w:r>
                    <w:rPr>
                      <w:rFonts w:hint="default" w:ascii="Times New Roman" w:hAnsi="Times New Roman" w:cs="Times New Roman"/>
                      <w:color w:val="000000" w:themeColor="text1"/>
                      <w:szCs w:val="21"/>
                      <w:highlight w:val="none"/>
                      <w:u w:val="single"/>
                      <w14:textFill>
                        <w14:solidFill>
                          <w14:schemeClr w14:val="tx1"/>
                        </w14:solidFill>
                      </w14:textFill>
                    </w:rPr>
                    <w:t>III</w:t>
                  </w:r>
                  <w:r>
                    <w:rPr>
                      <w:rFonts w:hint="default" w:ascii="Times New Roman" w:hAnsi="Times New Roman" w:cs="Times New Roman"/>
                      <w:color w:val="000000" w:themeColor="text1"/>
                      <w:szCs w:val="21"/>
                      <w:highlight w:val="none"/>
                      <w:u w:val="single"/>
                      <w14:textFill>
                        <w14:solidFill>
                          <w14:schemeClr w14:val="tx1"/>
                        </w14:solidFill>
                      </w14:textFill>
                    </w:rPr>
                    <w:fldChar w:fldCharType="end"/>
                  </w:r>
                  <w:r>
                    <w:rPr>
                      <w:rFonts w:hint="default" w:ascii="Times New Roman" w:hAnsi="Times New Roman" w:cs="Times New Roman"/>
                      <w:color w:val="000000" w:themeColor="text1"/>
                      <w:szCs w:val="21"/>
                      <w:highlight w:val="none"/>
                      <w:u w:val="single"/>
                      <w14:textFill>
                        <w14:solidFill>
                          <w14:schemeClr w14:val="tx1"/>
                        </w14:solidFill>
                      </w14:textFill>
                    </w:rPr>
                    <w:t>类</w:t>
                  </w:r>
                </w:p>
              </w:tc>
            </w:tr>
            <w:tr w14:paraId="4DF98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dxa"/>
                  <w:vMerge w:val="continue"/>
                  <w:vAlign w:val="center"/>
                </w:tcPr>
                <w:p w14:paraId="7A1663FA">
                  <w:pPr>
                    <w:pStyle w:val="58"/>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3447" w:type="dxa"/>
                  <w:gridSpan w:val="3"/>
                  <w:vAlign w:val="center"/>
                </w:tcPr>
                <w:p w14:paraId="48067A3C">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白依港</w:t>
                  </w:r>
                </w:p>
              </w:tc>
              <w:tc>
                <w:tcPr>
                  <w:tcW w:w="883" w:type="dxa"/>
                  <w:vAlign w:val="center"/>
                </w:tcPr>
                <w:p w14:paraId="3B8C38EC">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农业用水</w:t>
                  </w:r>
                </w:p>
              </w:tc>
              <w:tc>
                <w:tcPr>
                  <w:tcW w:w="636" w:type="dxa"/>
                  <w:vAlign w:val="center"/>
                </w:tcPr>
                <w:p w14:paraId="0D708982">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E</w:t>
                  </w:r>
                </w:p>
              </w:tc>
              <w:tc>
                <w:tcPr>
                  <w:tcW w:w="960" w:type="dxa"/>
                  <w:vAlign w:val="center"/>
                </w:tcPr>
                <w:p w14:paraId="3157F68D">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1267</w:t>
                  </w:r>
                </w:p>
              </w:tc>
              <w:tc>
                <w:tcPr>
                  <w:tcW w:w="1523" w:type="dxa"/>
                  <w:vAlign w:val="center"/>
                </w:tcPr>
                <w:p w14:paraId="169A4D2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GB38538-2002</w:t>
                  </w:r>
                </w:p>
                <w:p w14:paraId="388E810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fldChar w:fldCharType="begin"/>
                  </w:r>
                  <w:r>
                    <w:rPr>
                      <w:rFonts w:hint="default" w:ascii="Times New Roman" w:hAnsi="Times New Roman" w:cs="Times New Roman"/>
                      <w:color w:val="000000" w:themeColor="text1"/>
                      <w:szCs w:val="21"/>
                      <w:highlight w:val="none"/>
                      <w:u w:val="single"/>
                      <w14:textFill>
                        <w14:solidFill>
                          <w14:schemeClr w14:val="tx1"/>
                        </w14:solidFill>
                      </w14:textFill>
                    </w:rPr>
                    <w:instrText xml:space="preserve"> = 3 \* ROMAN \* MERGEFORMAT </w:instrText>
                  </w:r>
                  <w:r>
                    <w:rPr>
                      <w:rFonts w:hint="default" w:ascii="Times New Roman" w:hAnsi="Times New Roman" w:cs="Times New Roman"/>
                      <w:color w:val="000000" w:themeColor="text1"/>
                      <w:szCs w:val="21"/>
                      <w:highlight w:val="none"/>
                      <w:u w:val="single"/>
                      <w14:textFill>
                        <w14:solidFill>
                          <w14:schemeClr w14:val="tx1"/>
                        </w14:solidFill>
                      </w14:textFill>
                    </w:rPr>
                    <w:fldChar w:fldCharType="separate"/>
                  </w:r>
                  <w:r>
                    <w:rPr>
                      <w:rFonts w:hint="default" w:ascii="Times New Roman" w:hAnsi="Times New Roman" w:cs="Times New Roman"/>
                      <w:color w:val="000000" w:themeColor="text1"/>
                      <w:szCs w:val="21"/>
                      <w:highlight w:val="none"/>
                      <w:u w:val="single"/>
                      <w14:textFill>
                        <w14:solidFill>
                          <w14:schemeClr w14:val="tx1"/>
                        </w14:solidFill>
                      </w14:textFill>
                    </w:rPr>
                    <w:t>III</w:t>
                  </w:r>
                  <w:r>
                    <w:rPr>
                      <w:rFonts w:hint="default" w:ascii="Times New Roman" w:hAnsi="Times New Roman" w:cs="Times New Roman"/>
                      <w:color w:val="000000" w:themeColor="text1"/>
                      <w:szCs w:val="21"/>
                      <w:highlight w:val="none"/>
                      <w:u w:val="single"/>
                      <w14:textFill>
                        <w14:solidFill>
                          <w14:schemeClr w14:val="tx1"/>
                        </w14:solidFill>
                      </w14:textFill>
                    </w:rPr>
                    <w:fldChar w:fldCharType="end"/>
                  </w:r>
                  <w:r>
                    <w:rPr>
                      <w:rFonts w:hint="default" w:ascii="Times New Roman" w:hAnsi="Times New Roman" w:cs="Times New Roman"/>
                      <w:color w:val="000000" w:themeColor="text1"/>
                      <w:szCs w:val="21"/>
                      <w:highlight w:val="none"/>
                      <w:u w:val="single"/>
                      <w14:textFill>
                        <w14:solidFill>
                          <w14:schemeClr w14:val="tx1"/>
                        </w14:solidFill>
                      </w14:textFill>
                    </w:rPr>
                    <w:t>类</w:t>
                  </w:r>
                </w:p>
              </w:tc>
            </w:tr>
            <w:tr w14:paraId="45049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dxa"/>
                  <w:vAlign w:val="center"/>
                </w:tcPr>
                <w:p w14:paraId="788FA8AB">
                  <w:pPr>
                    <w:pStyle w:val="58"/>
                    <w:spacing w:beforeLines="0" w:afterLines="0" w:line="240" w:lineRule="auto"/>
                    <w:ind w:left="-105" w:leftChars="-50" w:right="-105" w:rightChars="-50"/>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声环境</w:t>
                  </w:r>
                </w:p>
              </w:tc>
              <w:tc>
                <w:tcPr>
                  <w:tcW w:w="7449" w:type="dxa"/>
                  <w:gridSpan w:val="7"/>
                  <w:vAlign w:val="center"/>
                </w:tcPr>
                <w:p w14:paraId="3A46B11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厂界外50米范围内无声环境敏感目标</w:t>
                  </w:r>
                </w:p>
              </w:tc>
            </w:tr>
            <w:tr w14:paraId="251F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9" w:type="dxa"/>
                  <w:vAlign w:val="center"/>
                </w:tcPr>
                <w:p w14:paraId="5CAF623F">
                  <w:pPr>
                    <w:pStyle w:val="58"/>
                    <w:spacing w:beforeLines="0" w:afterLines="0" w:line="240" w:lineRule="auto"/>
                    <w:ind w:left="-105" w:leftChars="-50" w:right="-105" w:rightChars="-50"/>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地下水环境</w:t>
                  </w:r>
                </w:p>
              </w:tc>
              <w:tc>
                <w:tcPr>
                  <w:tcW w:w="7449" w:type="dxa"/>
                  <w:gridSpan w:val="7"/>
                  <w:vAlign w:val="center"/>
                </w:tcPr>
                <w:p w14:paraId="4F5904F2">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厂界外500米范围内无地下水集中式引用水水源和热水、矿泉水、温泉等特殊地下水资源</w:t>
                  </w:r>
                </w:p>
              </w:tc>
            </w:tr>
          </w:tbl>
          <w:p w14:paraId="468951E6">
            <w:pPr>
              <w:rPr>
                <w:rFonts w:hint="default" w:ascii="Times New Roman" w:hAnsi="Times New Roman" w:cs="Times New Roman"/>
                <w:color w:val="000000" w:themeColor="text1"/>
                <w:highlight w:val="none"/>
                <w14:textFill>
                  <w14:solidFill>
                    <w14:schemeClr w14:val="tx1"/>
                  </w14:solidFill>
                </w14:textFill>
              </w:rPr>
            </w:pPr>
          </w:p>
          <w:p w14:paraId="1D17BA6D">
            <w:pPr>
              <w:pStyle w:val="40"/>
              <w:rPr>
                <w:rFonts w:hint="default" w:ascii="Times New Roman" w:hAnsi="Times New Roman" w:cs="Times New Roman"/>
                <w:color w:val="000000" w:themeColor="text1"/>
                <w:highlight w:val="none"/>
                <w14:textFill>
                  <w14:solidFill>
                    <w14:schemeClr w14:val="tx1"/>
                  </w14:solidFill>
                </w14:textFill>
              </w:rPr>
            </w:pPr>
          </w:p>
        </w:tc>
      </w:tr>
      <w:tr w14:paraId="305FB1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8" w:hRule="atLeast"/>
          <w:jc w:val="center"/>
        </w:trPr>
        <w:tc>
          <w:tcPr>
            <w:tcW w:w="800" w:type="dxa"/>
            <w:tcMar>
              <w:left w:w="28" w:type="dxa"/>
              <w:right w:w="28" w:type="dxa"/>
            </w:tcMar>
            <w:vAlign w:val="center"/>
          </w:tcPr>
          <w:p w14:paraId="66D0AEF8">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污染</w:t>
            </w:r>
          </w:p>
          <w:p w14:paraId="6ED540D3">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物排</w:t>
            </w:r>
          </w:p>
          <w:p w14:paraId="0624CB9A">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放控</w:t>
            </w:r>
          </w:p>
          <w:p w14:paraId="4CA38A9E">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制标</w:t>
            </w:r>
          </w:p>
          <w:p w14:paraId="3909A7AA">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准</w:t>
            </w:r>
          </w:p>
        </w:tc>
        <w:tc>
          <w:tcPr>
            <w:tcW w:w="8190" w:type="dxa"/>
            <w:vAlign w:val="center"/>
          </w:tcPr>
          <w:p w14:paraId="4271FD8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1、废水</w:t>
            </w:r>
          </w:p>
          <w:p w14:paraId="2A18C71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本项目营运期无废水产生。</w:t>
            </w:r>
          </w:p>
          <w:p w14:paraId="13999D8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2、废气</w:t>
            </w:r>
          </w:p>
          <w:p w14:paraId="073D59C1">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废气特征污染物为VOCs、二甲苯、颗粒物。喷漆生产线排放的VOCs、二甲苯执行《表面涂装（汽车制造及维修）挥发性有机物、镍排放标准》（DB43/1356-2017），颗粒物执行《大气污染物综合排放标准》（GB16297-1996）。厂区内无组织排放的挥发性有机物执</w:t>
            </w:r>
            <w:r>
              <w:rPr>
                <w:rFonts w:hint="default" w:ascii="Times New Roman" w:hAnsi="Times New Roman" w:cs="Times New Roman"/>
                <w:color w:val="000000" w:themeColor="text1"/>
                <w:spacing w:val="-1"/>
                <w:sz w:val="24"/>
                <w:highlight w:val="none"/>
                <w14:textFill>
                  <w14:solidFill>
                    <w14:schemeClr w14:val="tx1"/>
                  </w14:solidFill>
                </w14:textFill>
              </w:rPr>
              <w:t>行《挥</w:t>
            </w:r>
            <w:r>
              <w:rPr>
                <w:rFonts w:hint="default" w:ascii="Times New Roman" w:hAnsi="Times New Roman" w:cs="Times New Roman"/>
                <w:color w:val="000000" w:themeColor="text1"/>
                <w:spacing w:val="-2"/>
                <w:sz w:val="24"/>
                <w:highlight w:val="none"/>
                <w14:textFill>
                  <w14:solidFill>
                    <w14:schemeClr w14:val="tx1"/>
                  </w14:solidFill>
                </w14:textFill>
              </w:rPr>
              <w:t>发性有机物无组织排放控制标准》（GB37822-2019）附</w:t>
            </w:r>
            <w:r>
              <w:rPr>
                <w:rFonts w:hint="default" w:ascii="Times New Roman" w:hAnsi="Times New Roman" w:cs="Times New Roman"/>
                <w:color w:val="000000" w:themeColor="text1"/>
                <w:spacing w:val="-3"/>
                <w:sz w:val="24"/>
                <w:highlight w:val="none"/>
                <w14:textFill>
                  <w14:solidFill>
                    <w14:schemeClr w14:val="tx1"/>
                  </w14:solidFill>
                </w14:textFill>
              </w:rPr>
              <w:t>录A中厂区内VOCs无组织排放限值</w:t>
            </w:r>
            <w:r>
              <w:rPr>
                <w:rFonts w:hint="default" w:ascii="Times New Roman" w:hAnsi="Times New Roman" w:cs="Times New Roman"/>
                <w:color w:val="000000" w:themeColor="text1"/>
                <w:sz w:val="24"/>
                <w:highlight w:val="none"/>
                <w14:textFill>
                  <w14:solidFill>
                    <w14:schemeClr w14:val="tx1"/>
                  </w14:solidFill>
                </w14:textFill>
              </w:rPr>
              <w:t>。</w:t>
            </w:r>
          </w:p>
          <w:p w14:paraId="57A8F171">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表3-</w:t>
            </w:r>
            <w:r>
              <w:rPr>
                <w:rFonts w:hint="default" w:ascii="Times New Roman" w:hAnsi="Times New Roman" w:cs="Times New Roman"/>
                <w:color w:val="000000" w:themeColor="text1"/>
                <w:highlight w:val="none"/>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t xml:space="preserve"> 项目有组织废气污染物排放标准</w:t>
            </w:r>
          </w:p>
          <w:tbl>
            <w:tblPr>
              <w:tblStyle w:val="33"/>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88"/>
              <w:gridCol w:w="862"/>
              <w:gridCol w:w="909"/>
              <w:gridCol w:w="1357"/>
              <w:gridCol w:w="951"/>
              <w:gridCol w:w="2297"/>
            </w:tblGrid>
            <w:tr w14:paraId="371914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996" w:type="pct"/>
                  <w:vMerge w:val="restart"/>
                  <w:tcBorders>
                    <w:tl2br w:val="nil"/>
                    <w:tr2bl w:val="nil"/>
                  </w:tcBorders>
                  <w:tcMar>
                    <w:top w:w="15" w:type="dxa"/>
                    <w:left w:w="15" w:type="dxa"/>
                    <w:right w:w="15" w:type="dxa"/>
                  </w:tcMar>
                  <w:vAlign w:val="center"/>
                </w:tcPr>
                <w:p w14:paraId="07435BF6">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排放口</w:t>
                  </w:r>
                </w:p>
              </w:tc>
              <w:tc>
                <w:tcPr>
                  <w:tcW w:w="541" w:type="pct"/>
                  <w:vMerge w:val="restart"/>
                  <w:tcBorders>
                    <w:tl2br w:val="nil"/>
                    <w:tr2bl w:val="nil"/>
                  </w:tcBorders>
                  <w:tcMar>
                    <w:top w:w="15" w:type="dxa"/>
                    <w:left w:w="15" w:type="dxa"/>
                    <w:right w:w="15" w:type="dxa"/>
                  </w:tcMar>
                  <w:vAlign w:val="center"/>
                </w:tcPr>
                <w:p w14:paraId="3E2BB306">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污染物名称</w:t>
                  </w:r>
                </w:p>
              </w:tc>
              <w:tc>
                <w:tcPr>
                  <w:tcW w:w="571" w:type="pct"/>
                  <w:vMerge w:val="restart"/>
                  <w:tcBorders>
                    <w:tl2br w:val="nil"/>
                    <w:tr2bl w:val="nil"/>
                  </w:tcBorders>
                  <w:tcMar>
                    <w:top w:w="15" w:type="dxa"/>
                    <w:left w:w="15" w:type="dxa"/>
                    <w:right w:w="15" w:type="dxa"/>
                  </w:tcMar>
                  <w:vAlign w:val="center"/>
                </w:tcPr>
                <w:p w14:paraId="2D7FD209">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最高允许排放浓度（mg/m³)</w:t>
                  </w:r>
                </w:p>
              </w:tc>
              <w:tc>
                <w:tcPr>
                  <w:tcW w:w="1448" w:type="pct"/>
                  <w:gridSpan w:val="2"/>
                  <w:tcBorders>
                    <w:tl2br w:val="nil"/>
                    <w:tr2bl w:val="nil"/>
                  </w:tcBorders>
                  <w:noWrap/>
                  <w:tcMar>
                    <w:top w:w="15" w:type="dxa"/>
                    <w:left w:w="15" w:type="dxa"/>
                    <w:right w:w="15" w:type="dxa"/>
                  </w:tcMar>
                  <w:vAlign w:val="center"/>
                </w:tcPr>
                <w:p w14:paraId="1BA9697B">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最高允许排放速率（kg/h）</w:t>
                  </w:r>
                </w:p>
              </w:tc>
              <w:tc>
                <w:tcPr>
                  <w:tcW w:w="1441" w:type="pct"/>
                  <w:vMerge w:val="restart"/>
                  <w:tcBorders>
                    <w:tl2br w:val="nil"/>
                    <w:tr2bl w:val="nil"/>
                  </w:tcBorders>
                  <w:noWrap/>
                  <w:tcMar>
                    <w:top w:w="15" w:type="dxa"/>
                    <w:left w:w="15" w:type="dxa"/>
                    <w:right w:w="15" w:type="dxa"/>
                  </w:tcMar>
                  <w:vAlign w:val="center"/>
                </w:tcPr>
                <w:p w14:paraId="4D404EBA">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标准名称</w:t>
                  </w:r>
                </w:p>
              </w:tc>
            </w:tr>
            <w:tr w14:paraId="368ED1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996" w:type="pct"/>
                  <w:vMerge w:val="continue"/>
                  <w:tcBorders>
                    <w:tl2br w:val="nil"/>
                    <w:tr2bl w:val="nil"/>
                  </w:tcBorders>
                  <w:tcMar>
                    <w:top w:w="15" w:type="dxa"/>
                    <w:left w:w="15" w:type="dxa"/>
                    <w:right w:w="15" w:type="dxa"/>
                  </w:tcMar>
                  <w:vAlign w:val="center"/>
                </w:tcPr>
                <w:p w14:paraId="58347805">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541" w:type="pct"/>
                  <w:vMerge w:val="continue"/>
                  <w:tcBorders>
                    <w:tl2br w:val="nil"/>
                    <w:tr2bl w:val="nil"/>
                  </w:tcBorders>
                  <w:tcMar>
                    <w:top w:w="15" w:type="dxa"/>
                    <w:left w:w="15" w:type="dxa"/>
                    <w:right w:w="15" w:type="dxa"/>
                  </w:tcMar>
                  <w:vAlign w:val="center"/>
                </w:tcPr>
                <w:p w14:paraId="6FED4BE1">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571" w:type="pct"/>
                  <w:vMerge w:val="continue"/>
                  <w:tcBorders>
                    <w:tl2br w:val="nil"/>
                    <w:tr2bl w:val="nil"/>
                  </w:tcBorders>
                  <w:tcMar>
                    <w:top w:w="15" w:type="dxa"/>
                    <w:left w:w="15" w:type="dxa"/>
                    <w:right w:w="15" w:type="dxa"/>
                  </w:tcMar>
                  <w:vAlign w:val="center"/>
                </w:tcPr>
                <w:p w14:paraId="7D84DE70">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851" w:type="pct"/>
                  <w:tcBorders>
                    <w:tl2br w:val="nil"/>
                    <w:tr2bl w:val="nil"/>
                  </w:tcBorders>
                  <w:noWrap/>
                  <w:tcMar>
                    <w:top w:w="15" w:type="dxa"/>
                    <w:left w:w="15" w:type="dxa"/>
                    <w:right w:w="15" w:type="dxa"/>
                  </w:tcMar>
                  <w:vAlign w:val="center"/>
                </w:tcPr>
                <w:p w14:paraId="6D565782">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排气筒高度</w:t>
                  </w:r>
                </w:p>
                <w:p w14:paraId="24681AED">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（m)</w:t>
                  </w:r>
                </w:p>
              </w:tc>
              <w:tc>
                <w:tcPr>
                  <w:tcW w:w="597" w:type="pct"/>
                  <w:tcBorders>
                    <w:tl2br w:val="nil"/>
                    <w:tr2bl w:val="nil"/>
                  </w:tcBorders>
                  <w:noWrap/>
                  <w:tcMar>
                    <w:top w:w="15" w:type="dxa"/>
                    <w:left w:w="15" w:type="dxa"/>
                    <w:right w:w="15" w:type="dxa"/>
                  </w:tcMar>
                  <w:vAlign w:val="center"/>
                </w:tcPr>
                <w:p w14:paraId="48DDC3F3">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二级</w:t>
                  </w:r>
                </w:p>
              </w:tc>
              <w:tc>
                <w:tcPr>
                  <w:tcW w:w="1441" w:type="pct"/>
                  <w:vMerge w:val="continue"/>
                  <w:tcBorders>
                    <w:tl2br w:val="nil"/>
                    <w:tr2bl w:val="nil"/>
                  </w:tcBorders>
                  <w:tcMar>
                    <w:top w:w="15" w:type="dxa"/>
                    <w:left w:w="15" w:type="dxa"/>
                    <w:right w:w="15" w:type="dxa"/>
                  </w:tcMar>
                  <w:vAlign w:val="center"/>
                </w:tcPr>
                <w:p w14:paraId="7EB3108C">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5AE850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996" w:type="pct"/>
                  <w:tcBorders>
                    <w:tl2br w:val="nil"/>
                    <w:tr2bl w:val="nil"/>
                  </w:tcBorders>
                  <w:tcMar>
                    <w:top w:w="15" w:type="dxa"/>
                    <w:left w:w="15" w:type="dxa"/>
                    <w:right w:w="15" w:type="dxa"/>
                  </w:tcMar>
                  <w:vAlign w:val="center"/>
                </w:tcPr>
                <w:p w14:paraId="2013AAEC">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抛丸工序及喷漆生产线</w:t>
                  </w:r>
                </w:p>
              </w:tc>
              <w:tc>
                <w:tcPr>
                  <w:tcW w:w="541" w:type="pct"/>
                  <w:tcBorders>
                    <w:tl2br w:val="nil"/>
                    <w:tr2bl w:val="nil"/>
                  </w:tcBorders>
                  <w:tcMar>
                    <w:top w:w="15" w:type="dxa"/>
                    <w:left w:w="15" w:type="dxa"/>
                    <w:right w:w="15" w:type="dxa"/>
                  </w:tcMar>
                  <w:vAlign w:val="center"/>
                </w:tcPr>
                <w:p w14:paraId="2D90E678">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571" w:type="pct"/>
                  <w:tcBorders>
                    <w:tl2br w:val="nil"/>
                    <w:tr2bl w:val="nil"/>
                  </w:tcBorders>
                  <w:tcMar>
                    <w:top w:w="15" w:type="dxa"/>
                    <w:left w:w="15" w:type="dxa"/>
                    <w:right w:w="15" w:type="dxa"/>
                  </w:tcMar>
                  <w:vAlign w:val="center"/>
                </w:tcPr>
                <w:p w14:paraId="2AE64F0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120</w:t>
                  </w:r>
                </w:p>
              </w:tc>
              <w:tc>
                <w:tcPr>
                  <w:tcW w:w="851" w:type="pct"/>
                  <w:tcBorders>
                    <w:tl2br w:val="nil"/>
                    <w:tr2bl w:val="nil"/>
                  </w:tcBorders>
                  <w:noWrap/>
                  <w:tcMar>
                    <w:top w:w="15" w:type="dxa"/>
                    <w:left w:w="15" w:type="dxa"/>
                    <w:right w:w="15" w:type="dxa"/>
                  </w:tcMar>
                  <w:vAlign w:val="center"/>
                </w:tcPr>
                <w:p w14:paraId="60738E2C">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597" w:type="pct"/>
                  <w:tcBorders>
                    <w:tl2br w:val="nil"/>
                    <w:tr2bl w:val="nil"/>
                  </w:tcBorders>
                  <w:noWrap/>
                  <w:tcMar>
                    <w:top w:w="15" w:type="dxa"/>
                    <w:left w:w="15" w:type="dxa"/>
                    <w:right w:w="15" w:type="dxa"/>
                  </w:tcMar>
                  <w:vAlign w:val="center"/>
                </w:tcPr>
                <w:p w14:paraId="4C220FC4">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3.5</w:t>
                  </w:r>
                </w:p>
              </w:tc>
              <w:tc>
                <w:tcPr>
                  <w:tcW w:w="1441" w:type="pct"/>
                  <w:tcBorders>
                    <w:tl2br w:val="nil"/>
                    <w:tr2bl w:val="nil"/>
                  </w:tcBorders>
                  <w:tcMar>
                    <w:top w:w="15" w:type="dxa"/>
                    <w:left w:w="15" w:type="dxa"/>
                    <w:right w:w="15" w:type="dxa"/>
                  </w:tcMar>
                  <w:vAlign w:val="center"/>
                </w:tcPr>
                <w:p w14:paraId="51C3AD9D">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w:t>
                  </w:r>
                </w:p>
              </w:tc>
            </w:tr>
            <w:tr w14:paraId="761D77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6" w:type="pct"/>
                  <w:vMerge w:val="restart"/>
                  <w:tcBorders>
                    <w:tl2br w:val="nil"/>
                    <w:tr2bl w:val="nil"/>
                  </w:tcBorders>
                  <w:noWrap/>
                  <w:tcMar>
                    <w:top w:w="15" w:type="dxa"/>
                    <w:left w:w="15" w:type="dxa"/>
                    <w:right w:w="15" w:type="dxa"/>
                  </w:tcMar>
                  <w:vAlign w:val="center"/>
                </w:tcPr>
                <w:p w14:paraId="1D767038">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喷漆生产线</w:t>
                  </w:r>
                </w:p>
                <w:p w14:paraId="63BBC412">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541" w:type="pct"/>
                  <w:tcBorders>
                    <w:tl2br w:val="nil"/>
                    <w:tr2bl w:val="nil"/>
                  </w:tcBorders>
                  <w:noWrap/>
                  <w:tcMar>
                    <w:top w:w="15" w:type="dxa"/>
                    <w:left w:w="15" w:type="dxa"/>
                    <w:right w:w="15" w:type="dxa"/>
                  </w:tcMar>
                  <w:vAlign w:val="center"/>
                </w:tcPr>
                <w:p w14:paraId="355DDB6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VOCs</w:t>
                  </w:r>
                </w:p>
              </w:tc>
              <w:tc>
                <w:tcPr>
                  <w:tcW w:w="571" w:type="pct"/>
                  <w:tcBorders>
                    <w:tl2br w:val="nil"/>
                    <w:tr2bl w:val="nil"/>
                  </w:tcBorders>
                  <w:noWrap/>
                  <w:tcMar>
                    <w:top w:w="15" w:type="dxa"/>
                    <w:left w:w="15" w:type="dxa"/>
                    <w:right w:w="15" w:type="dxa"/>
                  </w:tcMar>
                  <w:vAlign w:val="center"/>
                </w:tcPr>
                <w:p w14:paraId="6CB7CC39">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40</w:t>
                  </w:r>
                </w:p>
              </w:tc>
              <w:tc>
                <w:tcPr>
                  <w:tcW w:w="851" w:type="pct"/>
                  <w:tcBorders>
                    <w:tl2br w:val="nil"/>
                    <w:tr2bl w:val="nil"/>
                  </w:tcBorders>
                  <w:noWrap/>
                  <w:tcMar>
                    <w:top w:w="15" w:type="dxa"/>
                    <w:left w:w="15" w:type="dxa"/>
                    <w:right w:w="15" w:type="dxa"/>
                  </w:tcMar>
                  <w:vAlign w:val="center"/>
                </w:tcPr>
                <w:p w14:paraId="62228890">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597" w:type="pct"/>
                  <w:tcBorders>
                    <w:tl2br w:val="nil"/>
                    <w:tr2bl w:val="nil"/>
                  </w:tcBorders>
                  <w:noWrap/>
                  <w:tcMar>
                    <w:top w:w="15" w:type="dxa"/>
                    <w:left w:w="15" w:type="dxa"/>
                    <w:right w:w="15" w:type="dxa"/>
                  </w:tcMar>
                  <w:vAlign w:val="center"/>
                </w:tcPr>
                <w:p w14:paraId="61DDDED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441" w:type="pct"/>
                  <w:vMerge w:val="restart"/>
                  <w:tcBorders>
                    <w:tl2br w:val="nil"/>
                    <w:tr2bl w:val="nil"/>
                  </w:tcBorders>
                  <w:tcMar>
                    <w:top w:w="15" w:type="dxa"/>
                    <w:left w:w="15" w:type="dxa"/>
                    <w:right w:w="15" w:type="dxa"/>
                  </w:tcMar>
                  <w:vAlign w:val="center"/>
                </w:tcPr>
                <w:p w14:paraId="17BAD8D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《表面涂装（汽车制造及维修）挥发性有机物、镍排放标准》（DB43/1356-2017）汽车制造限值</w:t>
                  </w:r>
                </w:p>
              </w:tc>
            </w:tr>
            <w:tr w14:paraId="6E1CB4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996" w:type="pct"/>
                  <w:vMerge w:val="continue"/>
                  <w:tcBorders>
                    <w:tl2br w:val="nil"/>
                    <w:tr2bl w:val="nil"/>
                  </w:tcBorders>
                  <w:noWrap/>
                  <w:tcMar>
                    <w:top w:w="15" w:type="dxa"/>
                    <w:left w:w="15" w:type="dxa"/>
                    <w:right w:w="15" w:type="dxa"/>
                  </w:tcMar>
                  <w:vAlign w:val="center"/>
                </w:tcPr>
                <w:p w14:paraId="638A39E2">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541" w:type="pct"/>
                  <w:tcBorders>
                    <w:tl2br w:val="nil"/>
                    <w:tr2bl w:val="nil"/>
                  </w:tcBorders>
                  <w:noWrap/>
                  <w:tcMar>
                    <w:top w:w="15" w:type="dxa"/>
                    <w:left w:w="15" w:type="dxa"/>
                    <w:right w:w="15" w:type="dxa"/>
                  </w:tcMar>
                  <w:vAlign w:val="center"/>
                </w:tcPr>
                <w:p w14:paraId="48DB6C5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二甲苯</w:t>
                  </w:r>
                </w:p>
              </w:tc>
              <w:tc>
                <w:tcPr>
                  <w:tcW w:w="571" w:type="pct"/>
                  <w:tcBorders>
                    <w:tl2br w:val="nil"/>
                    <w:tr2bl w:val="nil"/>
                  </w:tcBorders>
                  <w:noWrap/>
                  <w:tcMar>
                    <w:top w:w="15" w:type="dxa"/>
                    <w:left w:w="15" w:type="dxa"/>
                    <w:right w:w="15" w:type="dxa"/>
                  </w:tcMar>
                  <w:vAlign w:val="center"/>
                </w:tcPr>
                <w:p w14:paraId="24D82C42">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w:t>
                  </w:r>
                </w:p>
              </w:tc>
              <w:tc>
                <w:tcPr>
                  <w:tcW w:w="851" w:type="pct"/>
                  <w:tcBorders>
                    <w:tl2br w:val="nil"/>
                    <w:tr2bl w:val="nil"/>
                  </w:tcBorders>
                  <w:noWrap/>
                  <w:tcMar>
                    <w:top w:w="15" w:type="dxa"/>
                    <w:left w:w="15" w:type="dxa"/>
                    <w:right w:w="15" w:type="dxa"/>
                  </w:tcMar>
                  <w:vAlign w:val="center"/>
                </w:tcPr>
                <w:p w14:paraId="1426B3F9">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15</w:t>
                  </w:r>
                </w:p>
              </w:tc>
              <w:tc>
                <w:tcPr>
                  <w:tcW w:w="597" w:type="pct"/>
                  <w:tcBorders>
                    <w:tl2br w:val="nil"/>
                    <w:tr2bl w:val="nil"/>
                  </w:tcBorders>
                  <w:noWrap/>
                  <w:tcMar>
                    <w:top w:w="15" w:type="dxa"/>
                    <w:left w:w="15" w:type="dxa"/>
                    <w:right w:w="15" w:type="dxa"/>
                  </w:tcMar>
                  <w:vAlign w:val="center"/>
                </w:tcPr>
                <w:p w14:paraId="2BD322B0">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441" w:type="pct"/>
                  <w:vMerge w:val="continue"/>
                  <w:tcBorders>
                    <w:tl2br w:val="nil"/>
                    <w:tr2bl w:val="nil"/>
                  </w:tcBorders>
                  <w:tcMar>
                    <w:top w:w="15" w:type="dxa"/>
                    <w:left w:w="15" w:type="dxa"/>
                    <w:right w:w="15" w:type="dxa"/>
                  </w:tcMar>
                  <w:vAlign w:val="center"/>
                </w:tcPr>
                <w:p w14:paraId="5DE67B80">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bl>
          <w:p w14:paraId="5E537A8B">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p w14:paraId="439114DE">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表3-</w:t>
            </w:r>
            <w:r>
              <w:rPr>
                <w:rFonts w:hint="default" w:ascii="Times New Roman" w:hAnsi="Times New Roman" w:cs="Times New Roman"/>
                <w:color w:val="000000" w:themeColor="text1"/>
                <w:highlight w:val="none"/>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t xml:space="preserve">  项目无组织废气污染物排放标准</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1274"/>
              <w:gridCol w:w="1856"/>
              <w:gridCol w:w="1324"/>
              <w:gridCol w:w="2698"/>
            </w:tblGrid>
            <w:tr w14:paraId="74C00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9" w:type="pct"/>
                  <w:vMerge w:val="restart"/>
                  <w:vAlign w:val="center"/>
                </w:tcPr>
                <w:p w14:paraId="2FDA517B">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污染源</w:t>
                  </w:r>
                </w:p>
              </w:tc>
              <w:tc>
                <w:tcPr>
                  <w:tcW w:w="800" w:type="pct"/>
                  <w:vMerge w:val="restart"/>
                  <w:vAlign w:val="center"/>
                </w:tcPr>
                <w:p w14:paraId="6574A470">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污染物名称</w:t>
                  </w:r>
                </w:p>
              </w:tc>
              <w:tc>
                <w:tcPr>
                  <w:tcW w:w="1996" w:type="pct"/>
                  <w:gridSpan w:val="2"/>
                  <w:vAlign w:val="center"/>
                </w:tcPr>
                <w:p w14:paraId="46D544D6">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无组织排放监控浓度限值</w:t>
                  </w:r>
                </w:p>
              </w:tc>
              <w:tc>
                <w:tcPr>
                  <w:tcW w:w="1693" w:type="pct"/>
                  <w:vMerge w:val="restart"/>
                  <w:vAlign w:val="center"/>
                </w:tcPr>
                <w:p w14:paraId="7EBEB203">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标准名称</w:t>
                  </w:r>
                </w:p>
              </w:tc>
            </w:tr>
            <w:tr w14:paraId="3E90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09" w:type="pct"/>
                  <w:vMerge w:val="continue"/>
                  <w:vAlign w:val="center"/>
                </w:tcPr>
                <w:p w14:paraId="06259AF8">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800" w:type="pct"/>
                  <w:vMerge w:val="continue"/>
                  <w:vAlign w:val="center"/>
                </w:tcPr>
                <w:p w14:paraId="6BB6D37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5" w:type="pct"/>
                  <w:vAlign w:val="center"/>
                </w:tcPr>
                <w:p w14:paraId="5FDB5EFC">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监控点</w:t>
                  </w:r>
                </w:p>
              </w:tc>
              <w:tc>
                <w:tcPr>
                  <w:tcW w:w="831" w:type="pct"/>
                  <w:vAlign w:val="center"/>
                </w:tcPr>
                <w:p w14:paraId="7DD7D2F8">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浓度（mg/m³）</w:t>
                  </w:r>
                </w:p>
              </w:tc>
              <w:tc>
                <w:tcPr>
                  <w:tcW w:w="1693" w:type="pct"/>
                  <w:vMerge w:val="continue"/>
                  <w:vAlign w:val="center"/>
                </w:tcPr>
                <w:p w14:paraId="5BC563BC">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4BA76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9" w:type="pct"/>
                  <w:vMerge w:val="restart"/>
                  <w:vAlign w:val="center"/>
                </w:tcPr>
                <w:p w14:paraId="38A94E74">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生产车间</w:t>
                  </w:r>
                </w:p>
              </w:tc>
              <w:tc>
                <w:tcPr>
                  <w:tcW w:w="800" w:type="pct"/>
                  <w:vAlign w:val="center"/>
                </w:tcPr>
                <w:p w14:paraId="5233780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VOCs</w:t>
                  </w:r>
                </w:p>
              </w:tc>
              <w:tc>
                <w:tcPr>
                  <w:tcW w:w="1165" w:type="pct"/>
                  <w:vMerge w:val="restart"/>
                  <w:vAlign w:val="center"/>
                </w:tcPr>
                <w:p w14:paraId="1B91889B">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周界外浓度最高点</w:t>
                  </w:r>
                </w:p>
              </w:tc>
              <w:tc>
                <w:tcPr>
                  <w:tcW w:w="831" w:type="pct"/>
                  <w:vAlign w:val="center"/>
                </w:tcPr>
                <w:p w14:paraId="39325BC8">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2.0</w:t>
                  </w:r>
                </w:p>
              </w:tc>
              <w:tc>
                <w:tcPr>
                  <w:tcW w:w="1693" w:type="pct"/>
                  <w:vMerge w:val="restart"/>
                  <w:vAlign w:val="center"/>
                </w:tcPr>
                <w:p w14:paraId="5BF7C758">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《表面涂装（汽车制造及维修）挥发性有机物、镍排放标准》（DB43/1356-2017）</w:t>
                  </w:r>
                </w:p>
              </w:tc>
            </w:tr>
            <w:tr w14:paraId="29496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9" w:type="pct"/>
                  <w:vMerge w:val="continue"/>
                  <w:vAlign w:val="center"/>
                </w:tcPr>
                <w:p w14:paraId="6FB200BF">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800" w:type="pct"/>
                  <w:vAlign w:val="center"/>
                </w:tcPr>
                <w:p w14:paraId="1AD38451">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苯系物</w:t>
                  </w:r>
                </w:p>
              </w:tc>
              <w:tc>
                <w:tcPr>
                  <w:tcW w:w="1165" w:type="pct"/>
                  <w:vMerge w:val="continue"/>
                  <w:vAlign w:val="center"/>
                </w:tcPr>
                <w:p w14:paraId="3F87E4AD">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831" w:type="pct"/>
                  <w:vAlign w:val="center"/>
                </w:tcPr>
                <w:p w14:paraId="5B5CA51A">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693" w:type="pct"/>
                  <w:vMerge w:val="continue"/>
                  <w:vAlign w:val="center"/>
                </w:tcPr>
                <w:p w14:paraId="0C36B1A3">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3F829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9" w:type="pct"/>
                  <w:vMerge w:val="continue"/>
                  <w:vAlign w:val="center"/>
                </w:tcPr>
                <w:p w14:paraId="01554D3A">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800" w:type="pct"/>
                  <w:vAlign w:val="center"/>
                </w:tcPr>
                <w:p w14:paraId="408058AD">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1165" w:type="pct"/>
                  <w:vAlign w:val="center"/>
                </w:tcPr>
                <w:p w14:paraId="16D6BDF1">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周界外浓度最高点</w:t>
                  </w:r>
                </w:p>
              </w:tc>
              <w:tc>
                <w:tcPr>
                  <w:tcW w:w="831" w:type="pct"/>
                  <w:vAlign w:val="center"/>
                </w:tcPr>
                <w:p w14:paraId="4741845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693" w:type="pct"/>
                  <w:vAlign w:val="center"/>
                </w:tcPr>
                <w:p w14:paraId="377FDE5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w:t>
                  </w:r>
                </w:p>
              </w:tc>
            </w:tr>
          </w:tbl>
          <w:p w14:paraId="10B251B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p>
          <w:p w14:paraId="23F5D856">
            <w:pPr>
              <w:spacing w:before="36" w:line="212" w:lineRule="auto"/>
              <w:ind w:left="128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1"/>
                <w:szCs w:val="21"/>
                <w:highlight w:val="none"/>
                <w14:textFill>
                  <w14:solidFill>
                    <w14:schemeClr w14:val="tx1"/>
                  </w14:solidFill>
                </w14:textFill>
              </w:rPr>
              <w:t>表</w:t>
            </w:r>
            <w:r>
              <w:rPr>
                <w:rFonts w:hint="default" w:ascii="Times New Roman" w:hAnsi="Times New Roman" w:cs="Times New Roman"/>
                <w:color w:val="000000" w:themeColor="text1"/>
                <w:spacing w:val="-54"/>
                <w:szCs w:val="21"/>
                <w:highlight w:val="none"/>
                <w14:textFill>
                  <w14:solidFill>
                    <w14:schemeClr w14:val="tx1"/>
                  </w14:solidFill>
                </w14:textFill>
              </w:rPr>
              <w:t xml:space="preserve"> </w:t>
            </w:r>
            <w:r>
              <w:rPr>
                <w:rFonts w:hint="default" w:ascii="Times New Roman" w:hAnsi="Times New Roman" w:cs="Times New Roman"/>
                <w:b/>
                <w:bCs/>
                <w:color w:val="000000" w:themeColor="text1"/>
                <w:spacing w:val="-1"/>
                <w:szCs w:val="21"/>
                <w:highlight w:val="none"/>
                <w14:textFill>
                  <w14:solidFill>
                    <w14:schemeClr w14:val="tx1"/>
                  </w14:solidFill>
                </w14:textFill>
              </w:rPr>
              <w:t>3-</w:t>
            </w:r>
            <w:r>
              <w:rPr>
                <w:rFonts w:hint="default" w:ascii="Times New Roman" w:hAnsi="Times New Roman" w:cs="Times New Roman"/>
                <w:b/>
                <w:bCs/>
                <w:color w:val="000000" w:themeColor="text1"/>
                <w:spacing w:val="-1"/>
                <w:szCs w:val="21"/>
                <w:highlight w:val="none"/>
                <w14:textFill>
                  <w14:solidFill>
                    <w14:schemeClr w14:val="tx1"/>
                  </w14:solidFill>
                </w14:textFill>
              </w:rPr>
              <w:t>9</w:t>
            </w:r>
            <w:r>
              <w:rPr>
                <w:rFonts w:hint="default" w:ascii="Times New Roman" w:hAnsi="Times New Roman" w:cs="Times New Roman"/>
                <w:b/>
                <w:bCs/>
                <w:color w:val="000000" w:themeColor="text1"/>
                <w:spacing w:val="-1"/>
                <w:szCs w:val="21"/>
                <w:highlight w:val="none"/>
                <w14:textFill>
                  <w14:solidFill>
                    <w14:schemeClr w14:val="tx1"/>
                  </w14:solidFill>
                </w14:textFill>
              </w:rPr>
              <w:t xml:space="preserve">    挥发性有机物无组织排放控制标准</w:t>
            </w:r>
            <w:r>
              <w:rPr>
                <w:rFonts w:hint="default" w:ascii="Times New Roman" w:hAnsi="Times New Roman" w:cs="Times New Roman"/>
                <w:color w:val="000000" w:themeColor="text1"/>
                <w:spacing w:val="-1"/>
                <w:szCs w:val="21"/>
                <w:highlight w:val="none"/>
                <w14:textFill>
                  <w14:solidFill>
                    <w14:schemeClr w14:val="tx1"/>
                  </w14:solidFill>
                </w14:textFill>
              </w:rPr>
              <w:t xml:space="preserve">   </w:t>
            </w:r>
            <w:r>
              <w:rPr>
                <w:rFonts w:hint="default" w:ascii="Times New Roman" w:hAnsi="Times New Roman" w:cs="Times New Roman"/>
                <w:b/>
                <w:bCs/>
                <w:color w:val="000000" w:themeColor="text1"/>
                <w:spacing w:val="-1"/>
                <w:szCs w:val="21"/>
                <w:highlight w:val="none"/>
                <w14:textFill>
                  <w14:solidFill>
                    <w14:schemeClr w14:val="tx1"/>
                  </w14:solidFill>
                </w14:textFill>
              </w:rPr>
              <w:t>单</w:t>
            </w:r>
            <w:r>
              <w:rPr>
                <w:rFonts w:hint="default" w:ascii="Times New Roman" w:hAnsi="Times New Roman" w:cs="Times New Roman"/>
                <w:b/>
                <w:bCs/>
                <w:color w:val="000000" w:themeColor="text1"/>
                <w:spacing w:val="-2"/>
                <w:szCs w:val="21"/>
                <w:highlight w:val="none"/>
                <w14:textFill>
                  <w14:solidFill>
                    <w14:schemeClr w14:val="tx1"/>
                  </w14:solidFill>
                </w14:textFill>
              </w:rPr>
              <w:t>位：mg/m</w:t>
            </w:r>
            <w:r>
              <w:rPr>
                <w:rFonts w:hint="default" w:ascii="Times New Roman" w:hAnsi="Times New Roman" w:cs="Times New Roman"/>
                <w:b/>
                <w:bCs/>
                <w:color w:val="000000" w:themeColor="text1"/>
                <w:spacing w:val="-2"/>
                <w:position w:val="8"/>
                <w:szCs w:val="21"/>
                <w:highlight w:val="none"/>
                <w14:textFill>
                  <w14:solidFill>
                    <w14:schemeClr w14:val="tx1"/>
                  </w14:solidFill>
                </w14:textFill>
              </w:rPr>
              <w:t>3</w:t>
            </w:r>
          </w:p>
          <w:tbl>
            <w:tblPr>
              <w:tblStyle w:val="34"/>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3"/>
              <w:gridCol w:w="1993"/>
              <w:gridCol w:w="1994"/>
              <w:gridCol w:w="1994"/>
            </w:tblGrid>
            <w:tr w14:paraId="00944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vAlign w:val="center"/>
                </w:tcPr>
                <w:p w14:paraId="29792293">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污染物项目</w:t>
                  </w:r>
                </w:p>
              </w:tc>
              <w:tc>
                <w:tcPr>
                  <w:tcW w:w="1993" w:type="dxa"/>
                  <w:vAlign w:val="center"/>
                </w:tcPr>
                <w:p w14:paraId="2730383F">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排放限值</w:t>
                  </w:r>
                </w:p>
              </w:tc>
              <w:tc>
                <w:tcPr>
                  <w:tcW w:w="1994" w:type="dxa"/>
                  <w:vAlign w:val="center"/>
                </w:tcPr>
                <w:p w14:paraId="7FEA905D">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3"/>
                      <w:szCs w:val="21"/>
                      <w:highlight w:val="none"/>
                      <w14:textFill>
                        <w14:solidFill>
                          <w14:schemeClr w14:val="tx1"/>
                        </w14:solidFill>
                      </w14:textFill>
                    </w:rPr>
                    <w:t>限值含义</w:t>
                  </w:r>
                </w:p>
              </w:tc>
              <w:tc>
                <w:tcPr>
                  <w:tcW w:w="1994" w:type="dxa"/>
                  <w:vAlign w:val="center"/>
                </w:tcPr>
                <w:p w14:paraId="64B14AED">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无组织排放监控位置</w:t>
                  </w:r>
                </w:p>
              </w:tc>
            </w:tr>
            <w:tr w14:paraId="41E1F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vMerge w:val="restart"/>
                  <w:vAlign w:val="center"/>
                </w:tcPr>
                <w:p w14:paraId="542BD76D">
                  <w:pP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挥发性有机物</w:t>
                  </w:r>
                </w:p>
              </w:tc>
              <w:tc>
                <w:tcPr>
                  <w:tcW w:w="1993" w:type="dxa"/>
                  <w:vAlign w:val="center"/>
                </w:tcPr>
                <w:p w14:paraId="30F44B0A">
                  <w:pPr>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10</w:t>
                  </w:r>
                </w:p>
              </w:tc>
              <w:tc>
                <w:tcPr>
                  <w:tcW w:w="1994" w:type="dxa"/>
                  <w:vAlign w:val="center"/>
                </w:tcPr>
                <w:p w14:paraId="26EF86CA">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监控点处1h平均浓度值</w:t>
                  </w:r>
                </w:p>
              </w:tc>
              <w:tc>
                <w:tcPr>
                  <w:tcW w:w="1994" w:type="dxa"/>
                  <w:vMerge w:val="restart"/>
                  <w:vAlign w:val="center"/>
                </w:tcPr>
                <w:p w14:paraId="4E12CA26">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9"/>
                      <w:szCs w:val="21"/>
                      <w:highlight w:val="none"/>
                      <w14:textFill>
                        <w14:solidFill>
                          <w14:schemeClr w14:val="tx1"/>
                        </w14:solidFill>
                      </w14:textFill>
                    </w:rPr>
                    <w:t>在厂房外设置监控点</w:t>
                  </w:r>
                </w:p>
              </w:tc>
            </w:tr>
            <w:tr w14:paraId="66B19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vMerge w:val="continue"/>
                  <w:vAlign w:val="center"/>
                </w:tcPr>
                <w:p w14:paraId="155ACE1D">
                  <w:pPr>
                    <w:jc w:val="center"/>
                    <w:rPr>
                      <w:rFonts w:hint="default" w:ascii="Times New Roman" w:hAnsi="Times New Roman" w:cs="Times New Roman"/>
                      <w:color w:val="000000" w:themeColor="text1"/>
                      <w:sz w:val="24"/>
                      <w:highlight w:val="none"/>
                      <w14:textFill>
                        <w14:solidFill>
                          <w14:schemeClr w14:val="tx1"/>
                        </w14:solidFill>
                      </w14:textFill>
                    </w:rPr>
                  </w:pPr>
                </w:p>
              </w:tc>
              <w:tc>
                <w:tcPr>
                  <w:tcW w:w="1993" w:type="dxa"/>
                  <w:vAlign w:val="center"/>
                </w:tcPr>
                <w:p w14:paraId="57A1ED66">
                  <w:pPr>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30</w:t>
                  </w:r>
                </w:p>
              </w:tc>
              <w:tc>
                <w:tcPr>
                  <w:tcW w:w="1994" w:type="dxa"/>
                  <w:vAlign w:val="center"/>
                </w:tcPr>
                <w:p w14:paraId="7A1D4B1A">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pacing w:val="9"/>
                      <w:szCs w:val="21"/>
                      <w:highlight w:val="none"/>
                      <w14:textFill>
                        <w14:solidFill>
                          <w14:schemeClr w14:val="tx1"/>
                        </w14:solidFill>
                      </w14:textFill>
                    </w:rPr>
                    <w:t>监控点处任意一次浓度值</w:t>
                  </w:r>
                </w:p>
              </w:tc>
              <w:tc>
                <w:tcPr>
                  <w:tcW w:w="1994" w:type="dxa"/>
                  <w:vMerge w:val="continue"/>
                </w:tcPr>
                <w:p w14:paraId="50D7179C">
                  <w:pPr>
                    <w:spacing w:line="360" w:lineRule="auto"/>
                    <w:rPr>
                      <w:rFonts w:hint="default" w:ascii="Times New Roman" w:hAnsi="Times New Roman" w:cs="Times New Roman"/>
                      <w:color w:val="000000" w:themeColor="text1"/>
                      <w:sz w:val="24"/>
                      <w:highlight w:val="none"/>
                      <w14:textFill>
                        <w14:solidFill>
                          <w14:schemeClr w14:val="tx1"/>
                        </w14:solidFill>
                      </w14:textFill>
                    </w:rPr>
                  </w:pPr>
                </w:p>
              </w:tc>
            </w:tr>
          </w:tbl>
          <w:p w14:paraId="46CFC81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3、噪声</w:t>
            </w:r>
          </w:p>
          <w:p w14:paraId="2C3C897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运营期噪声执行《工业企业厂界环境噪声排放标准》（GB12348-2008）3类标准。</w:t>
            </w:r>
          </w:p>
          <w:p w14:paraId="2971F238">
            <w:pPr>
              <w:spacing w:before="120" w:beforeLines="50"/>
              <w:jc w:val="center"/>
              <w:rPr>
                <w:rFonts w:hint="default" w:ascii="Times New Roman" w:hAnsi="Times New Roman" w:cs="Times New Roman"/>
                <w:b/>
                <w:color w:val="000000" w:themeColor="text1"/>
                <w:szCs w:val="21"/>
                <w:highlight w:val="none"/>
                <w:lang w:val="zh-CN"/>
                <w14:textFill>
                  <w14:solidFill>
                    <w14:schemeClr w14:val="tx1"/>
                  </w14:solidFill>
                </w14:textFill>
              </w:rPr>
            </w:pPr>
            <w:r>
              <w:rPr>
                <w:rFonts w:hint="default" w:ascii="Times New Roman" w:hAnsi="Times New Roman" w:cs="Times New Roman"/>
                <w:b/>
                <w:color w:val="000000" w:themeColor="text1"/>
                <w:szCs w:val="21"/>
                <w:highlight w:val="none"/>
                <w:lang w:val="zh-CN"/>
                <w14:textFill>
                  <w14:solidFill>
                    <w14:schemeClr w14:val="tx1"/>
                  </w14:solidFill>
                </w14:textFill>
              </w:rPr>
              <w:t>表</w:t>
            </w:r>
            <w:r>
              <w:rPr>
                <w:rFonts w:hint="default" w:ascii="Times New Roman" w:hAnsi="Times New Roman" w:cs="Times New Roman"/>
                <w:b/>
                <w:color w:val="000000" w:themeColor="text1"/>
                <w:szCs w:val="21"/>
                <w:highlight w:val="none"/>
                <w14:textFill>
                  <w14:solidFill>
                    <w14:schemeClr w14:val="tx1"/>
                  </w14:solidFill>
                </w14:textFill>
              </w:rPr>
              <w:t>3-</w:t>
            </w:r>
            <w:r>
              <w:rPr>
                <w:rFonts w:hint="default" w:ascii="Times New Roman" w:hAnsi="Times New Roman" w:cs="Times New Roman"/>
                <w:b/>
                <w:color w:val="000000" w:themeColor="text1"/>
                <w:szCs w:val="21"/>
                <w:highlight w:val="none"/>
                <w14:textFill>
                  <w14:solidFill>
                    <w14:schemeClr w14:val="tx1"/>
                  </w14:solidFill>
                </w14:textFill>
              </w:rPr>
              <w:t>10</w:t>
            </w:r>
            <w:r>
              <w:rPr>
                <w:rFonts w:hint="default" w:ascii="Times New Roman" w:hAnsi="Times New Roman" w:cs="Times New Roman"/>
                <w:b/>
                <w:color w:val="000000" w:themeColor="text1"/>
                <w:szCs w:val="21"/>
                <w:highlight w:val="none"/>
                <w14:textFill>
                  <w14:solidFill>
                    <w14:schemeClr w14:val="tx1"/>
                  </w14:solidFill>
                </w14:textFill>
              </w:rPr>
              <w:t xml:space="preserve">  </w:t>
            </w:r>
            <w:r>
              <w:rPr>
                <w:rFonts w:hint="default" w:ascii="Times New Roman" w:hAnsi="Times New Roman" w:cs="Times New Roman"/>
                <w:b/>
                <w:color w:val="000000" w:themeColor="text1"/>
                <w:szCs w:val="21"/>
                <w:highlight w:val="none"/>
                <w:lang w:val="zh-CN"/>
                <w14:textFill>
                  <w14:solidFill>
                    <w14:schemeClr w14:val="tx1"/>
                  </w14:solidFill>
                </w14:textFill>
              </w:rPr>
              <w:t>噪声排放执行标准（单位dB(A)）</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75"/>
              <w:gridCol w:w="1254"/>
              <w:gridCol w:w="1415"/>
              <w:gridCol w:w="1317"/>
            </w:tblGrid>
            <w:tr w14:paraId="2387B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5" w:type="pct"/>
                  <w:vAlign w:val="center"/>
                </w:tcPr>
                <w:p w14:paraId="1366285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分类</w:t>
                  </w:r>
                </w:p>
              </w:tc>
              <w:tc>
                <w:tcPr>
                  <w:tcW w:w="787" w:type="pct"/>
                  <w:vAlign w:val="center"/>
                </w:tcPr>
                <w:p w14:paraId="5126247D">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级别</w:t>
                  </w:r>
                </w:p>
              </w:tc>
              <w:tc>
                <w:tcPr>
                  <w:tcW w:w="889" w:type="pct"/>
                  <w:vAlign w:val="center"/>
                </w:tcPr>
                <w:p w14:paraId="3F52A08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时段</w:t>
                  </w:r>
                </w:p>
              </w:tc>
              <w:tc>
                <w:tcPr>
                  <w:tcW w:w="827" w:type="pct"/>
                  <w:vAlign w:val="center"/>
                </w:tcPr>
                <w:p w14:paraId="5FE65CE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标准值</w:t>
                  </w:r>
                </w:p>
              </w:tc>
            </w:tr>
            <w:tr w14:paraId="6AD87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5" w:type="pct"/>
                  <w:vMerge w:val="restart"/>
                  <w:vAlign w:val="center"/>
                </w:tcPr>
                <w:p w14:paraId="2830325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《工业企业厂界环境噪声排放标准》（GB12348-2008）</w:t>
                  </w:r>
                </w:p>
              </w:tc>
              <w:tc>
                <w:tcPr>
                  <w:tcW w:w="787" w:type="pct"/>
                  <w:vMerge w:val="restart"/>
                  <w:vAlign w:val="center"/>
                </w:tcPr>
                <w:p w14:paraId="5C07A52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3类</w:t>
                  </w:r>
                </w:p>
              </w:tc>
              <w:tc>
                <w:tcPr>
                  <w:tcW w:w="889" w:type="pct"/>
                  <w:vAlign w:val="center"/>
                </w:tcPr>
                <w:p w14:paraId="2C57541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昼间</w:t>
                  </w:r>
                </w:p>
              </w:tc>
              <w:tc>
                <w:tcPr>
                  <w:tcW w:w="827" w:type="pct"/>
                  <w:vAlign w:val="center"/>
                </w:tcPr>
                <w:p w14:paraId="2D427D9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65</w:t>
                  </w:r>
                </w:p>
              </w:tc>
            </w:tr>
            <w:tr w14:paraId="1F403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95" w:type="pct"/>
                  <w:vMerge w:val="continue"/>
                  <w:vAlign w:val="center"/>
                </w:tcPr>
                <w:p w14:paraId="0CFD152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787" w:type="pct"/>
                  <w:vMerge w:val="continue"/>
                  <w:vAlign w:val="center"/>
                </w:tcPr>
                <w:p w14:paraId="642051D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889" w:type="pct"/>
                  <w:vAlign w:val="center"/>
                </w:tcPr>
                <w:p w14:paraId="46F1013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夜间</w:t>
                  </w:r>
                </w:p>
              </w:tc>
              <w:tc>
                <w:tcPr>
                  <w:tcW w:w="827" w:type="pct"/>
                  <w:vAlign w:val="center"/>
                </w:tcPr>
                <w:p w14:paraId="26C99AB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55</w:t>
                  </w:r>
                </w:p>
              </w:tc>
            </w:tr>
          </w:tbl>
          <w:p w14:paraId="7CE796E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4、固体废物</w:t>
            </w:r>
          </w:p>
          <w:p w14:paraId="5B964EF3">
            <w:pPr>
              <w:spacing w:line="360" w:lineRule="auto"/>
              <w:ind w:firstLine="480" w:firstLineChars="200"/>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生活垃圾的处置执行《生活垃圾填埋场污染控制标准》（GB16889-2008）；一般固体废物执行</w:t>
            </w:r>
            <w:r>
              <w:rPr>
                <w:rFonts w:hint="default" w:ascii="Times New Roman" w:hAnsi="Times New Roman" w:cs="Times New Roman"/>
                <w:snapToGrid w:val="0"/>
                <w:color w:val="000000" w:themeColor="text1"/>
                <w:kern w:val="0"/>
                <w:sz w:val="24"/>
                <w:highlight w:val="none"/>
                <w14:textFill>
                  <w14:solidFill>
                    <w14:schemeClr w14:val="tx1"/>
                  </w14:solidFill>
                </w14:textFill>
              </w:rPr>
              <w:t>《一般工业固体废物贮存和填埋污染控制标准》（GB18599-2020）</w:t>
            </w:r>
            <w:r>
              <w:rPr>
                <w:rFonts w:hint="default" w:ascii="Times New Roman" w:hAnsi="Times New Roman" w:cs="Times New Roman"/>
                <w:color w:val="000000" w:themeColor="text1"/>
                <w:sz w:val="24"/>
                <w:highlight w:val="none"/>
                <w14:textFill>
                  <w14:solidFill>
                    <w14:schemeClr w14:val="tx1"/>
                  </w14:solidFill>
                </w14:textFill>
              </w:rPr>
              <w:t>；危险废物执行《危险废物贮存污染控制标准》（GB18597-2001）及修改单的相关内容。</w:t>
            </w:r>
          </w:p>
        </w:tc>
      </w:tr>
      <w:tr w14:paraId="6F58D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14:paraId="62291A38">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总量</w:t>
            </w:r>
          </w:p>
          <w:p w14:paraId="5DDFC250">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控制</w:t>
            </w:r>
          </w:p>
          <w:p w14:paraId="6C2E6D72">
            <w:pPr>
              <w:adjustRightInd w:val="0"/>
              <w:snapToGrid w:val="0"/>
              <w:jc w:val="center"/>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指标</w:t>
            </w:r>
          </w:p>
        </w:tc>
        <w:tc>
          <w:tcPr>
            <w:tcW w:w="8190" w:type="dxa"/>
            <w:vAlign w:val="center"/>
          </w:tcPr>
          <w:p w14:paraId="4C29AE51">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根据国家环保总局总量控制的要求，确定本项目的总量控制因子为：COD</w:t>
            </w:r>
            <w:r>
              <w:rPr>
                <w:rFonts w:hint="default" w:ascii="Times New Roman" w:hAnsi="Times New Roman" w:cs="Times New Roman"/>
                <w:color w:val="000000" w:themeColor="text1"/>
                <w:sz w:val="24"/>
                <w:highlight w:val="none"/>
                <w:vertAlign w:val="subscript"/>
                <w14:textFill>
                  <w14:solidFill>
                    <w14:schemeClr w14:val="tx1"/>
                  </w14:solidFill>
                </w14:textFill>
              </w:rPr>
              <w:t>Cr</w:t>
            </w:r>
            <w:r>
              <w:rPr>
                <w:rFonts w:hint="default" w:ascii="Times New Roman" w:hAnsi="Times New Roman" w:cs="Times New Roman"/>
                <w:color w:val="000000" w:themeColor="text1"/>
                <w:sz w:val="24"/>
                <w:highlight w:val="none"/>
                <w14:textFill>
                  <w14:solidFill>
                    <w14:schemeClr w14:val="tx1"/>
                  </w14:solidFill>
                </w14:textFill>
              </w:rPr>
              <w:t>、氨氮、SO</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、NOx、VOCs。</w:t>
            </w:r>
          </w:p>
          <w:p w14:paraId="761135A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一、废水</w:t>
            </w:r>
          </w:p>
          <w:p w14:paraId="0D44853D">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本项目运营期无废水排放。</w:t>
            </w:r>
          </w:p>
          <w:p w14:paraId="18B83DEB">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二、废气</w:t>
            </w:r>
          </w:p>
          <w:p w14:paraId="6F2C2228">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本项目喷漆和烘干产生的VOCs（含二甲苯），根据油漆平衡图（图2-1）计算：VOCs排放总量=</w:t>
            </w:r>
            <w:r>
              <w:rPr>
                <w:rFonts w:hint="default" w:ascii="Times New Roman" w:hAnsi="Times New Roman" w:cs="Times New Roman"/>
                <w:color w:val="000000" w:themeColor="text1"/>
                <w:sz w:val="24"/>
                <w:highlight w:val="none"/>
                <w:u w:val="single"/>
                <w14:textFill>
                  <w14:solidFill>
                    <w14:schemeClr w14:val="tx1"/>
                  </w14:solidFill>
                </w14:textFill>
              </w:rPr>
              <w:t>有组织+无组织=</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0.164</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0.66</w:t>
            </w:r>
            <w:r>
              <w:rPr>
                <w:rFonts w:hint="default" w:ascii="Times New Roman" w:hAnsi="Times New Roman" w:cs="Times New Roman"/>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sz w:val="24"/>
                <w:highlight w:val="none"/>
                <w:u w:val="single"/>
                <w14:textFill>
                  <w14:solidFill>
                    <w14:schemeClr w14:val="tx1"/>
                  </w14:solidFill>
                </w14:textFill>
              </w:rPr>
              <w:t>0.372</w:t>
            </w:r>
            <w:r>
              <w:rPr>
                <w:rFonts w:hint="default" w:ascii="Times New Roman" w:hAnsi="Times New Roman" w:cs="Times New Roman"/>
                <w:color w:val="000000" w:themeColor="text1"/>
                <w:sz w:val="24"/>
                <w:highlight w:val="none"/>
                <w:u w:val="single"/>
                <w14:textFill>
                  <w14:solidFill>
                    <w14:schemeClr w14:val="tx1"/>
                  </w14:solidFill>
                </w14:textFill>
              </w:rPr>
              <w:t>+0.0</w:t>
            </w:r>
            <w:r>
              <w:rPr>
                <w:rFonts w:hint="default" w:ascii="Times New Roman" w:hAnsi="Times New Roman" w:cs="Times New Roman"/>
                <w:color w:val="000000" w:themeColor="text1"/>
                <w:sz w:val="24"/>
                <w:highlight w:val="none"/>
                <w:u w:val="single"/>
                <w14:textFill>
                  <w14:solidFill>
                    <w14:schemeClr w14:val="tx1"/>
                  </w14:solidFill>
                </w14:textFill>
              </w:rPr>
              <w:t>91</w:t>
            </w:r>
            <w:r>
              <w:rPr>
                <w:rFonts w:hint="default" w:ascii="Times New Roman" w:hAnsi="Times New Roman" w:cs="Times New Roman"/>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sz w:val="24"/>
                <w:highlight w:val="none"/>
                <w:u w:val="single"/>
                <w14:textFill>
                  <w14:solidFill>
                    <w14:schemeClr w14:val="tx1"/>
                  </w14:solidFill>
                </w14:textFill>
              </w:rPr>
              <w:t>1.287</w:t>
            </w:r>
            <w:r>
              <w:rPr>
                <w:rFonts w:hint="default" w:ascii="Times New Roman" w:hAnsi="Times New Roman" w:cs="Times New Roman"/>
                <w:color w:val="000000" w:themeColor="text1"/>
                <w:sz w:val="24"/>
                <w:highlight w:val="none"/>
                <w:u w:val="single"/>
                <w14:textFill>
                  <w14:solidFill>
                    <w14:schemeClr w14:val="tx1"/>
                  </w14:solidFill>
                </w14:textFill>
              </w:rPr>
              <w:t>t/a。</w:t>
            </w:r>
          </w:p>
          <w:p w14:paraId="0B2744CE">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综上，核定本项目VOCs总量控制申请：</w:t>
            </w:r>
            <w:r>
              <w:rPr>
                <w:rFonts w:hint="default" w:ascii="Times New Roman" w:hAnsi="Times New Roman" w:cs="Times New Roman"/>
                <w:color w:val="000000" w:themeColor="text1"/>
                <w:sz w:val="24"/>
                <w:highlight w:val="none"/>
                <w:u w:val="single"/>
                <w14:textFill>
                  <w14:solidFill>
                    <w14:schemeClr w14:val="tx1"/>
                  </w14:solidFill>
                </w14:textFill>
              </w:rPr>
              <w:t>1.287</w:t>
            </w:r>
            <w:r>
              <w:rPr>
                <w:rFonts w:hint="default" w:ascii="Times New Roman" w:hAnsi="Times New Roman" w:cs="Times New Roman"/>
                <w:color w:val="000000" w:themeColor="text1"/>
                <w:sz w:val="24"/>
                <w:highlight w:val="none"/>
                <w:u w:val="single"/>
                <w14:textFill>
                  <w14:solidFill>
                    <w14:schemeClr w14:val="tx1"/>
                  </w14:solidFill>
                </w14:textFill>
              </w:rPr>
              <w:t>吨/年。</w:t>
            </w:r>
          </w:p>
          <w:p w14:paraId="7C875871">
            <w:pPr>
              <w:adjustRightInd w:val="0"/>
              <w:snapToGrid w:val="0"/>
              <w:spacing w:line="360" w:lineRule="auto"/>
              <w:ind w:firstLine="420" w:firstLineChars="200"/>
              <w:jc w:val="left"/>
              <w:rPr>
                <w:rFonts w:hint="default" w:ascii="Times New Roman" w:hAnsi="Times New Roman" w:cs="Times New Roman"/>
                <w:color w:val="000000" w:themeColor="text1"/>
                <w:kern w:val="0"/>
                <w:szCs w:val="21"/>
                <w:highlight w:val="none"/>
                <w14:textFill>
                  <w14:solidFill>
                    <w14:schemeClr w14:val="tx1"/>
                  </w14:solidFill>
                </w14:textFill>
              </w:rPr>
            </w:pPr>
          </w:p>
        </w:tc>
      </w:tr>
    </w:tbl>
    <w:p w14:paraId="3F33EB3A">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eastAsia="黑体" w:cs="Times New Roman"/>
          <w:snapToGrid w:val="0"/>
          <w:color w:val="000000" w:themeColor="text1"/>
          <w:sz w:val="36"/>
          <w:szCs w:val="36"/>
          <w:highlight w:val="none"/>
          <w14:textFill>
            <w14:solidFill>
              <w14:schemeClr w14:val="tx1"/>
            </w14:solidFill>
          </w14:textFill>
        </w:rPr>
        <w:br w:type="page"/>
      </w:r>
      <w:bookmarkStart w:id="63" w:name="_Toc8089"/>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四、主要环境影响和保护措施</w:t>
      </w:r>
      <w:bookmarkEnd w:id="63"/>
    </w:p>
    <w:tbl>
      <w:tblPr>
        <w:tblStyle w:val="33"/>
        <w:tblW w:w="910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1"/>
        <w:gridCol w:w="8694"/>
      </w:tblGrid>
      <w:tr w14:paraId="31C9EF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1" w:hRule="atLeast"/>
          <w:jc w:val="center"/>
        </w:trPr>
        <w:tc>
          <w:tcPr>
            <w:tcW w:w="411" w:type="dxa"/>
            <w:tcMar>
              <w:left w:w="28" w:type="dxa"/>
              <w:right w:w="28" w:type="dxa"/>
            </w:tcMar>
            <w:vAlign w:val="center"/>
          </w:tcPr>
          <w:p w14:paraId="45D3EC4F">
            <w:pPr>
              <w:pStyle w:val="30"/>
              <w:adjustRightInd w:val="0"/>
              <w:snapToGrid w:val="0"/>
              <w:spacing w:before="0" w:beforeAutospacing="0" w:after="0" w:afterAutospacing="0"/>
              <w:jc w:val="center"/>
              <w:rPr>
                <w:rFonts w:hint="default" w:ascii="Times New Roman" w:hAnsi="Times New Roman" w:cs="Times New Roman"/>
                <w:color w:val="000000" w:themeColor="text1"/>
                <w:kern w:val="2"/>
                <w:szCs w:val="24"/>
                <w:highlight w:val="none"/>
                <w14:textFill>
                  <w14:solidFill>
                    <w14:schemeClr w14:val="tx1"/>
                  </w14:solidFill>
                </w14:textFill>
              </w:rPr>
            </w:pPr>
            <w:r>
              <w:rPr>
                <w:rFonts w:hint="default" w:ascii="Times New Roman" w:hAnsi="Times New Roman" w:cs="Times New Roman"/>
                <w:color w:val="000000" w:themeColor="text1"/>
                <w:kern w:val="2"/>
                <w:szCs w:val="24"/>
                <w:highlight w:val="none"/>
                <w14:textFill>
                  <w14:solidFill>
                    <w14:schemeClr w14:val="tx1"/>
                  </w14:solidFill>
                </w14:textFill>
              </w:rPr>
              <w:t>施工</w:t>
            </w:r>
          </w:p>
          <w:p w14:paraId="6E1D5D2D">
            <w:pPr>
              <w:pStyle w:val="30"/>
              <w:adjustRightInd w:val="0"/>
              <w:snapToGrid w:val="0"/>
              <w:spacing w:before="0" w:beforeAutospacing="0" w:after="0" w:afterAutospacing="0"/>
              <w:jc w:val="center"/>
              <w:rPr>
                <w:rFonts w:hint="default" w:ascii="Times New Roman" w:hAnsi="Times New Roman" w:cs="Times New Roman"/>
                <w:color w:val="000000" w:themeColor="text1"/>
                <w:kern w:val="2"/>
                <w:szCs w:val="24"/>
                <w:highlight w:val="none"/>
                <w14:textFill>
                  <w14:solidFill>
                    <w14:schemeClr w14:val="tx1"/>
                  </w14:solidFill>
                </w14:textFill>
              </w:rPr>
            </w:pPr>
            <w:r>
              <w:rPr>
                <w:rFonts w:hint="default" w:ascii="Times New Roman" w:hAnsi="Times New Roman" w:cs="Times New Roman"/>
                <w:color w:val="000000" w:themeColor="text1"/>
                <w:kern w:val="2"/>
                <w:szCs w:val="24"/>
                <w:highlight w:val="none"/>
                <w14:textFill>
                  <w14:solidFill>
                    <w14:schemeClr w14:val="tx1"/>
                  </w14:solidFill>
                </w14:textFill>
              </w:rPr>
              <w:t>期环</w:t>
            </w:r>
          </w:p>
          <w:p w14:paraId="778C7650">
            <w:pPr>
              <w:pStyle w:val="30"/>
              <w:adjustRightInd w:val="0"/>
              <w:snapToGrid w:val="0"/>
              <w:spacing w:before="0" w:beforeAutospacing="0" w:after="0" w:afterAutospacing="0"/>
              <w:jc w:val="center"/>
              <w:rPr>
                <w:rFonts w:hint="default" w:ascii="Times New Roman" w:hAnsi="Times New Roman" w:cs="Times New Roman"/>
                <w:color w:val="000000" w:themeColor="text1"/>
                <w:kern w:val="2"/>
                <w:szCs w:val="24"/>
                <w:highlight w:val="none"/>
                <w14:textFill>
                  <w14:solidFill>
                    <w14:schemeClr w14:val="tx1"/>
                  </w14:solidFill>
                </w14:textFill>
              </w:rPr>
            </w:pPr>
            <w:r>
              <w:rPr>
                <w:rFonts w:hint="default" w:ascii="Times New Roman" w:hAnsi="Times New Roman" w:cs="Times New Roman"/>
                <w:color w:val="000000" w:themeColor="text1"/>
                <w:kern w:val="2"/>
                <w:szCs w:val="24"/>
                <w:highlight w:val="none"/>
                <w14:textFill>
                  <w14:solidFill>
                    <w14:schemeClr w14:val="tx1"/>
                  </w14:solidFill>
                </w14:textFill>
              </w:rPr>
              <w:t>境保</w:t>
            </w:r>
          </w:p>
          <w:p w14:paraId="62A3DBB6">
            <w:pPr>
              <w:pStyle w:val="30"/>
              <w:adjustRightInd w:val="0"/>
              <w:snapToGrid w:val="0"/>
              <w:spacing w:before="0" w:beforeAutospacing="0" w:after="0" w:afterAutospacing="0"/>
              <w:jc w:val="center"/>
              <w:rPr>
                <w:rFonts w:hint="default" w:ascii="Times New Roman" w:hAnsi="Times New Roman" w:cs="Times New Roman"/>
                <w:color w:val="000000" w:themeColor="text1"/>
                <w:kern w:val="2"/>
                <w:szCs w:val="24"/>
                <w:highlight w:val="none"/>
                <w14:textFill>
                  <w14:solidFill>
                    <w14:schemeClr w14:val="tx1"/>
                  </w14:solidFill>
                </w14:textFill>
              </w:rPr>
            </w:pPr>
            <w:r>
              <w:rPr>
                <w:rFonts w:hint="default" w:ascii="Times New Roman" w:hAnsi="Times New Roman" w:cs="Times New Roman"/>
                <w:color w:val="000000" w:themeColor="text1"/>
                <w:kern w:val="2"/>
                <w:szCs w:val="24"/>
                <w:highlight w:val="none"/>
                <w14:textFill>
                  <w14:solidFill>
                    <w14:schemeClr w14:val="tx1"/>
                  </w14:solidFill>
                </w14:textFill>
              </w:rPr>
              <w:t>护措</w:t>
            </w:r>
          </w:p>
          <w:p w14:paraId="4330D0AD">
            <w:pPr>
              <w:pStyle w:val="30"/>
              <w:adjustRightInd w:val="0"/>
              <w:snapToGrid w:val="0"/>
              <w:spacing w:before="0" w:beforeAutospacing="0" w:after="0" w:afterAutospacing="0"/>
              <w:jc w:val="center"/>
              <w:rPr>
                <w:rFonts w:hint="default" w:ascii="Times New Roman" w:hAnsi="Times New Roman" w:cs="Times New Roman"/>
                <w:bCs/>
                <w:color w:val="000000" w:themeColor="text1"/>
                <w:kern w:val="2"/>
                <w:szCs w:val="24"/>
                <w:highlight w:val="none"/>
                <w14:textFill>
                  <w14:solidFill>
                    <w14:schemeClr w14:val="tx1"/>
                  </w14:solidFill>
                </w14:textFill>
              </w:rPr>
            </w:pPr>
            <w:r>
              <w:rPr>
                <w:rFonts w:hint="default" w:ascii="Times New Roman" w:hAnsi="Times New Roman" w:cs="Times New Roman"/>
                <w:color w:val="000000" w:themeColor="text1"/>
                <w:kern w:val="2"/>
                <w:szCs w:val="24"/>
                <w:highlight w:val="none"/>
                <w14:textFill>
                  <w14:solidFill>
                    <w14:schemeClr w14:val="tx1"/>
                  </w14:solidFill>
                </w14:textFill>
              </w:rPr>
              <w:t>施</w:t>
            </w:r>
          </w:p>
        </w:tc>
        <w:tc>
          <w:tcPr>
            <w:tcW w:w="8694" w:type="dxa"/>
            <w:vAlign w:val="center"/>
          </w:tcPr>
          <w:p w14:paraId="42C2447B">
            <w:pPr>
              <w:adjustRightInd w:val="0"/>
              <w:snapToGrid w:val="0"/>
              <w:spacing w:line="360" w:lineRule="auto"/>
              <w:ind w:firstLine="480" w:firstLineChars="200"/>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本项目位于衡东县大浦镇衡东经济开发区</w:t>
            </w:r>
            <w:r>
              <w:rPr>
                <w:rFonts w:hint="default" w:ascii="Times New Roman" w:hAnsi="Times New Roman" w:cs="Times New Roman"/>
                <w:color w:val="000000" w:themeColor="text1"/>
                <w:sz w:val="24"/>
                <w:highlight w:val="none"/>
                <w14:textFill>
                  <w14:solidFill>
                    <w14:schemeClr w14:val="tx1"/>
                  </w14:solidFill>
                </w14:textFill>
              </w:rPr>
              <w:t>宁国路</w:t>
            </w:r>
            <w:r>
              <w:rPr>
                <w:rFonts w:hint="default" w:ascii="Times New Roman" w:hAnsi="Times New Roman" w:cs="Times New Roman"/>
                <w:color w:val="000000" w:themeColor="text1"/>
                <w:sz w:val="24"/>
                <w:highlight w:val="none"/>
                <w14:textFill>
                  <w14:solidFill>
                    <w14:schemeClr w14:val="tx1"/>
                  </w14:solidFill>
                </w14:textFill>
              </w:rPr>
              <w:t>，在湖南朝阳机电股份有限公司厂房内进行</w:t>
            </w:r>
            <w:r>
              <w:rPr>
                <w:rFonts w:hint="default" w:ascii="Times New Roman" w:hAnsi="Times New Roman" w:cs="Times New Roman"/>
                <w:color w:val="000000" w:themeColor="text1"/>
                <w:sz w:val="24"/>
                <w:highlight w:val="none"/>
                <w14:textFill>
                  <w14:solidFill>
                    <w14:schemeClr w14:val="tx1"/>
                  </w14:solidFill>
                </w14:textFill>
              </w:rPr>
              <w:t>改扩</w:t>
            </w:r>
            <w:r>
              <w:rPr>
                <w:rFonts w:hint="default" w:ascii="Times New Roman" w:hAnsi="Times New Roman" w:cs="Times New Roman"/>
                <w:color w:val="000000" w:themeColor="text1"/>
                <w:sz w:val="24"/>
                <w:highlight w:val="none"/>
                <w14:textFill>
                  <w14:solidFill>
                    <w14:schemeClr w14:val="tx1"/>
                  </w14:solidFill>
                </w14:textFill>
              </w:rPr>
              <w:t>。项目施工期不涉及土建施工，仅进行厂房装修及设备的安装调试等。因此，本评价不对施工期环境保护措施进行分析。</w:t>
            </w:r>
          </w:p>
        </w:tc>
      </w:tr>
      <w:tr w14:paraId="1CAD90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1" w:hRule="atLeast"/>
          <w:jc w:val="center"/>
        </w:trPr>
        <w:tc>
          <w:tcPr>
            <w:tcW w:w="411" w:type="dxa"/>
            <w:tcMar>
              <w:left w:w="28" w:type="dxa"/>
              <w:right w:w="28" w:type="dxa"/>
            </w:tcMar>
            <w:vAlign w:val="center"/>
          </w:tcPr>
          <w:p w14:paraId="2AE409A2">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运营</w:t>
            </w:r>
          </w:p>
          <w:p w14:paraId="09524BC5">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期环</w:t>
            </w:r>
          </w:p>
          <w:p w14:paraId="353175B8">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境影</w:t>
            </w:r>
          </w:p>
          <w:p w14:paraId="457DF3AD">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响和</w:t>
            </w:r>
          </w:p>
          <w:p w14:paraId="0BFA19E7">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保护</w:t>
            </w:r>
          </w:p>
          <w:p w14:paraId="14C07588">
            <w:pPr>
              <w:pStyle w:val="30"/>
              <w:adjustRightInd w:val="0"/>
              <w:snapToGrid w:val="0"/>
              <w:spacing w:before="0" w:beforeAutospacing="0" w:after="0" w:afterAutospacing="0"/>
              <w:jc w:val="center"/>
              <w:rPr>
                <w:rFonts w:hint="default" w:ascii="Times New Roman" w:hAnsi="Times New Roman" w:cs="Times New Roman"/>
                <w:color w:val="000000" w:themeColor="text1"/>
                <w:kern w:val="2"/>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14:textFill>
                  <w14:solidFill>
                    <w14:schemeClr w14:val="tx1"/>
                  </w14:solidFill>
                </w14:textFill>
              </w:rPr>
              <w:t>措施</w:t>
            </w:r>
          </w:p>
        </w:tc>
        <w:tc>
          <w:tcPr>
            <w:tcW w:w="8694" w:type="dxa"/>
            <w:vAlign w:val="center"/>
          </w:tcPr>
          <w:p w14:paraId="3669A83E">
            <w:pPr>
              <w:spacing w:line="360" w:lineRule="auto"/>
              <w:ind w:firstLine="482" w:firstLineChars="200"/>
              <w:rPr>
                <w:rFonts w:hint="default" w:ascii="Times New Roman" w:hAnsi="Times New Roman" w:cs="Times New Roman"/>
                <w:b/>
                <w:bCs/>
                <w:snapToGrid w:val="0"/>
                <w:color w:val="000000" w:themeColor="text1"/>
                <w:kern w:val="0"/>
                <w:sz w:val="24"/>
                <w:highlight w:val="none"/>
                <w14:textFill>
                  <w14:solidFill>
                    <w14:schemeClr w14:val="tx1"/>
                  </w14:solidFill>
                </w14:textFill>
              </w:rPr>
            </w:pPr>
            <w:r>
              <w:rPr>
                <w:rFonts w:hint="default" w:ascii="Times New Roman" w:hAnsi="Times New Roman" w:cs="Times New Roman"/>
                <w:b/>
                <w:bCs/>
                <w:snapToGrid w:val="0"/>
                <w:color w:val="000000" w:themeColor="text1"/>
                <w:kern w:val="0"/>
                <w:sz w:val="24"/>
                <w:highlight w:val="none"/>
                <w14:textFill>
                  <w14:solidFill>
                    <w14:schemeClr w14:val="tx1"/>
                  </w14:solidFill>
                </w14:textFill>
              </w:rPr>
              <w:t>一、废气</w:t>
            </w:r>
          </w:p>
          <w:p w14:paraId="2A1C75AE">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本项目运营期生产废气主要为</w:t>
            </w:r>
            <w:r>
              <w:rPr>
                <w:rFonts w:hint="default" w:ascii="Times New Roman" w:hAnsi="Times New Roman" w:cs="Times New Roman"/>
                <w:color w:val="000000" w:themeColor="text1"/>
                <w:sz w:val="24"/>
                <w:highlight w:val="none"/>
                <w:u w:val="single"/>
                <w14:textFill>
                  <w14:solidFill>
                    <w14:schemeClr w14:val="tx1"/>
                  </w14:solidFill>
                </w14:textFill>
              </w:rPr>
              <w:t>填充</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工艺废气（堆场扬尘、装卸粉尘、物料输送搅拌粉尘）</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预处理区产生的废气（下料粉尘、焊接烟气、抛丸粉尘、腻子打磨粉尘）；喷漆</w:t>
            </w:r>
            <w:r>
              <w:rPr>
                <w:rFonts w:hint="default" w:ascii="Times New Roman" w:hAnsi="Times New Roman" w:cs="Times New Roman"/>
                <w:color w:val="000000" w:themeColor="text1"/>
                <w:sz w:val="24"/>
                <w:highlight w:val="none"/>
                <w14:textFill>
                  <w14:solidFill>
                    <w14:schemeClr w14:val="tx1"/>
                  </w14:solidFill>
                </w14:textFill>
              </w:rPr>
              <w:t>烘干</w:t>
            </w:r>
            <w:r>
              <w:rPr>
                <w:rFonts w:hint="default" w:ascii="Times New Roman" w:hAnsi="Times New Roman" w:cs="Times New Roman"/>
                <w:color w:val="000000" w:themeColor="text1"/>
                <w:sz w:val="24"/>
                <w:highlight w:val="none"/>
                <w14:textFill>
                  <w14:solidFill>
                    <w14:schemeClr w14:val="tx1"/>
                  </w14:solidFill>
                </w14:textFill>
              </w:rPr>
              <w:t>生产线产生的挥发性有机废气、漆雾。</w:t>
            </w:r>
          </w:p>
          <w:p w14:paraId="5510DC08">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u w:val="single"/>
                <w:lang w:val="en-US" w:eastAsia="zh-CN"/>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本次改扩建对现有废气处理设施进行优化升级，升级后的现有工程喷漆烘干废气、扩建工程喷漆烘干废气一起</w:t>
            </w:r>
            <w:r>
              <w:rPr>
                <w:rFonts w:hint="default" w:ascii="Times New Roman" w:hAnsi="Times New Roman" w:cs="Times New Roman"/>
                <w:color w:val="000000" w:themeColor="text1"/>
                <w:sz w:val="24"/>
                <w:highlight w:val="none"/>
                <w:u w:val="single"/>
                <w14:textFill>
                  <w14:solidFill>
                    <w14:schemeClr w14:val="tx1"/>
                  </w14:solidFill>
                </w14:textFill>
              </w:rPr>
              <w:t>经负压收集通过“水喷淋+干式过滤+活性炭吸附/脱附+催化燃烧+15m高排气筒</w:t>
            </w:r>
            <w:r>
              <w:rPr>
                <w:rFonts w:hint="default" w:ascii="Times New Roman" w:hAnsi="Times New Roman" w:cs="Times New Roman"/>
                <w:color w:val="000000" w:themeColor="text1"/>
                <w:sz w:val="24"/>
                <w:highlight w:val="none"/>
                <w:u w:val="single"/>
                <w14:textFill>
                  <w14:solidFill>
                    <w14:schemeClr w14:val="tx1"/>
                  </w14:solidFill>
                </w14:textFill>
              </w:rPr>
              <w:t>排放，因此本次环评将现有、扩建项目一起进行核算。</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其余部分均为扩建工程新增废气内容。</w:t>
            </w:r>
          </w:p>
          <w:p w14:paraId="49646C88">
            <w:pPr>
              <w:adjustRightInd w:val="0"/>
              <w:snapToGrid w:val="0"/>
              <w:spacing w:line="360" w:lineRule="auto"/>
              <w:ind w:firstLine="482" w:firstLineChars="200"/>
              <w:rPr>
                <w:rFonts w:hint="default" w:ascii="Times New Roman" w:hAnsi="Times New Roman" w:cs="Times New Roman"/>
                <w:b/>
                <w:snapToGrid w:val="0"/>
                <w:color w:val="000000" w:themeColor="text1"/>
                <w:kern w:val="0"/>
                <w:sz w:val="24"/>
                <w:highlight w:val="none"/>
                <w14:textFill>
                  <w14:solidFill>
                    <w14:schemeClr w14:val="tx1"/>
                  </w14:solidFill>
                </w14:textFill>
              </w:rPr>
            </w:pPr>
            <w:r>
              <w:rPr>
                <w:rFonts w:hint="default" w:ascii="Times New Roman" w:hAnsi="Times New Roman" w:cs="Times New Roman"/>
                <w:b/>
                <w:snapToGrid w:val="0"/>
                <w:color w:val="000000" w:themeColor="text1"/>
                <w:kern w:val="0"/>
                <w:sz w:val="24"/>
                <w:highlight w:val="none"/>
                <w14:textFill>
                  <w14:solidFill>
                    <w14:schemeClr w14:val="tx1"/>
                  </w14:solidFill>
                </w14:textFill>
              </w:rPr>
              <w:t>1、源强核算</w:t>
            </w:r>
          </w:p>
          <w:p w14:paraId="2CA47AB2">
            <w:pPr>
              <w:spacing w:line="360" w:lineRule="auto"/>
              <w:ind w:firstLine="482" w:firstLineChars="200"/>
              <w:rPr>
                <w:rFonts w:hint="default" w:ascii="Times New Roman" w:hAnsi="Times New Roman" w:cs="Times New Roman"/>
                <w:b/>
                <w:bCs/>
                <w:color w:val="000000" w:themeColor="text1"/>
                <w:sz w:val="24"/>
                <w:highlight w:val="none"/>
                <w:u w:val="single"/>
                <w14:textFill>
                  <w14:solidFill>
                    <w14:schemeClr w14:val="tx1"/>
                  </w14:solidFill>
                </w14:textFill>
              </w:rPr>
            </w:pPr>
            <w:r>
              <w:rPr>
                <w:rFonts w:hint="default" w:ascii="Times New Roman" w:hAnsi="Times New Roman" w:cs="Times New Roman"/>
                <w:b/>
                <w:bCs/>
                <w:color w:val="000000" w:themeColor="text1"/>
                <w:sz w:val="24"/>
                <w:highlight w:val="none"/>
                <w:u w:val="single"/>
                <w14:textFill>
                  <w14:solidFill>
                    <w14:schemeClr w14:val="tx1"/>
                  </w14:solidFill>
                </w14:textFill>
              </w:rPr>
              <w:t>（1）填充粉尘</w:t>
            </w:r>
          </w:p>
          <w:p w14:paraId="25C83FFD">
            <w:pPr>
              <w:spacing w:line="360" w:lineRule="auto"/>
              <w:ind w:firstLine="420" w:firstLineChars="200"/>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①堆场扬尘</w:t>
            </w:r>
          </w:p>
          <w:p w14:paraId="7A1FBC31">
            <w:pPr>
              <w:pStyle w:val="40"/>
              <w:spacing w:line="360" w:lineRule="auto"/>
              <w:ind w:firstLine="480" w:firstLineChars="200"/>
              <w:jc w:val="both"/>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根据建设单位提供的资料，</w:t>
            </w:r>
            <w:r>
              <w:rPr>
                <w:rFonts w:hint="default" w:ascii="Times New Roman" w:hAnsi="Times New Roman" w:cs="Times New Roman"/>
                <w:color w:val="000000" w:themeColor="text1"/>
                <w:sz w:val="24"/>
                <w:highlight w:val="none"/>
                <w:u w:val="single"/>
                <w14:textFill>
                  <w14:solidFill>
                    <w14:schemeClr w14:val="tx1"/>
                  </w14:solidFill>
                </w14:textFill>
              </w:rPr>
              <w:t>填充工艺分为湿式和干式，</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干式占比99.19%，</w:t>
            </w:r>
            <w:r>
              <w:rPr>
                <w:rFonts w:hint="default" w:ascii="Times New Roman" w:hAnsi="Times New Roman" w:cs="Times New Roman"/>
                <w:color w:val="000000" w:themeColor="text1"/>
                <w:sz w:val="24"/>
                <w:highlight w:val="none"/>
                <w:u w:val="single"/>
                <w14:textFill>
                  <w14:solidFill>
                    <w14:schemeClr w14:val="tx1"/>
                  </w14:solidFill>
                </w14:textFill>
              </w:rPr>
              <w:t>湿式比重小仅占0.81%，</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干式</w:t>
            </w:r>
            <w:r>
              <w:rPr>
                <w:rFonts w:hint="default" w:ascii="Times New Roman" w:hAnsi="Times New Roman" w:cs="Times New Roman"/>
                <w:color w:val="000000" w:themeColor="text1"/>
                <w:sz w:val="24"/>
                <w:highlight w:val="none"/>
                <w:u w:val="single"/>
                <w14:textFill>
                  <w14:solidFill>
                    <w14:schemeClr w14:val="tx1"/>
                  </w14:solidFill>
                </w14:textFill>
              </w:rPr>
              <w:t>填充工艺原料为干砂和袋装水泥</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在气候干燥又有风的情况下，会产生扬尘。采用西安冶金建筑学院的干堆扬尘计算模式，计算模式为：</w:t>
            </w:r>
          </w:p>
          <w:p w14:paraId="467ED9B1">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jc w:val="center"/>
              <w:textAlignment w:val="auto"/>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Q=4.23×10</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-4</w:t>
            </w:r>
            <w:r>
              <w:rPr>
                <w:rFonts w:hint="default" w:ascii="Times New Roman" w:hAnsi="Times New Roman" w:cs="Times New Roman"/>
                <w:color w:val="000000" w:themeColor="text1"/>
                <w:sz w:val="24"/>
                <w:highlight w:val="none"/>
                <w:u w:val="single"/>
                <w14:textFill>
                  <w14:solidFill>
                    <w14:schemeClr w14:val="tx1"/>
                  </w14:solidFill>
                </w14:textFill>
              </w:rPr>
              <w:t>×V</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4.9</w:t>
            </w:r>
            <w:r>
              <w:rPr>
                <w:rFonts w:hint="default" w:ascii="Times New Roman" w:hAnsi="Times New Roman" w:cs="Times New Roman"/>
                <w:color w:val="000000" w:themeColor="text1"/>
                <w:sz w:val="24"/>
                <w:highlight w:val="none"/>
                <w:u w:val="single"/>
                <w14:textFill>
                  <w14:solidFill>
                    <w14:schemeClr w14:val="tx1"/>
                  </w14:solidFill>
                </w14:textFill>
              </w:rPr>
              <w:t>×S</w:t>
            </w:r>
          </w:p>
          <w:p w14:paraId="1A78A6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式中：Q—堆场起尘强度，mg/s；</w:t>
            </w:r>
          </w:p>
          <w:p w14:paraId="01AFBD09">
            <w:pPr>
              <w:spacing w:line="360" w:lineRule="auto"/>
              <w:ind w:firstLine="1200" w:firstLineChars="5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V—风速，m/s；</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衡东县</w:t>
            </w:r>
            <w:r>
              <w:rPr>
                <w:rFonts w:hint="default" w:ascii="Times New Roman" w:hAnsi="Times New Roman" w:cs="Times New Roman"/>
                <w:color w:val="000000" w:themeColor="text1"/>
                <w:sz w:val="24"/>
                <w:highlight w:val="none"/>
                <w:u w:val="single"/>
                <w14:textFill>
                  <w14:solidFill>
                    <w14:schemeClr w14:val="tx1"/>
                  </w14:solidFill>
                </w14:textFill>
              </w:rPr>
              <w:t>风速平均值为1.7m/s；</w:t>
            </w:r>
          </w:p>
          <w:p w14:paraId="5C2F3681">
            <w:pPr>
              <w:spacing w:line="360" w:lineRule="auto"/>
              <w:ind w:firstLine="1200" w:firstLineChars="5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S—堆场表面积，m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。本项目原料堆场占地面积为</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 xml:space="preserve"> 610.2</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w:t>
            </w:r>
          </w:p>
          <w:p w14:paraId="063250C4">
            <w:pPr>
              <w:spacing w:line="360" w:lineRule="auto"/>
              <w:ind w:left="239" w:leftChars="114" w:firstLine="307" w:firstLineChars="128"/>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经计算，在不采取任何防尘措施的情况下，项目原料堆场平均起尘量为</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 xml:space="preserve"> 3.47</w:t>
            </w:r>
            <w:r>
              <w:rPr>
                <w:rFonts w:hint="default" w:ascii="Times New Roman" w:hAnsi="Times New Roman" w:cs="Times New Roman"/>
                <w:color w:val="000000" w:themeColor="text1"/>
                <w:sz w:val="24"/>
                <w:highlight w:val="none"/>
                <w:u w:val="single"/>
                <w14:textFill>
                  <w14:solidFill>
                    <w14:schemeClr w14:val="tx1"/>
                  </w14:solidFill>
                </w14:textFill>
              </w:rPr>
              <w:t>mg/s（</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0.012</w:t>
            </w:r>
            <w:r>
              <w:rPr>
                <w:rFonts w:hint="default" w:ascii="Times New Roman" w:hAnsi="Times New Roman" w:cs="Times New Roman"/>
                <w:color w:val="000000" w:themeColor="text1"/>
                <w:sz w:val="24"/>
                <w:highlight w:val="none"/>
                <w:u w:val="single"/>
                <w14:textFill>
                  <w14:solidFill>
                    <w14:schemeClr w14:val="tx1"/>
                  </w14:solidFill>
                </w14:textFill>
              </w:rPr>
              <w:t>kg/h，0.</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 xml:space="preserve">057 </w:t>
            </w:r>
            <w:r>
              <w:rPr>
                <w:rFonts w:hint="default" w:ascii="Times New Roman" w:hAnsi="Times New Roman" w:cs="Times New Roman"/>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kern w:val="0"/>
                <w:sz w:val="24"/>
                <w:highlight w:val="none"/>
                <w:u w:val="single"/>
                <w14:textFill>
                  <w14:solidFill>
                    <w14:schemeClr w14:val="tx1"/>
                  </w14:solidFill>
                </w14:textFill>
              </w:rPr>
              <w:t>原料堆场采用</w:t>
            </w:r>
            <w:r>
              <w:rPr>
                <w:rFonts w:hint="default" w:ascii="Times New Roman" w:hAnsi="Times New Roman" w:cs="Times New Roman"/>
                <w:color w:val="000000" w:themeColor="text1"/>
                <w:kern w:val="0"/>
                <w:sz w:val="24"/>
                <w:highlight w:val="none"/>
                <w:u w:val="single"/>
                <w:lang w:val="en-US" w:eastAsia="zh-CN"/>
                <w14:textFill>
                  <w14:solidFill>
                    <w14:schemeClr w14:val="tx1"/>
                  </w14:solidFill>
                </w14:textFill>
              </w:rPr>
              <w:t>洒水抑尘</w:t>
            </w:r>
            <w:r>
              <w:rPr>
                <w:rFonts w:hint="default" w:ascii="Times New Roman" w:hAnsi="Times New Roman" w:cs="Times New Roman"/>
                <w:color w:val="000000" w:themeColor="text1"/>
                <w:kern w:val="0"/>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可有效降尘</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70</w:t>
            </w:r>
            <w:r>
              <w:rPr>
                <w:rFonts w:hint="default" w:ascii="Times New Roman" w:hAnsi="Times New Roman" w:cs="Times New Roman"/>
                <w:color w:val="000000" w:themeColor="text1"/>
                <w:sz w:val="24"/>
                <w:highlight w:val="none"/>
                <w:u w:val="single"/>
                <w14:textFill>
                  <w14:solidFill>
                    <w14:schemeClr w14:val="tx1"/>
                  </w14:solidFill>
                </w14:textFill>
              </w:rPr>
              <w:t>%，故堆场粉尘无组织排放量为</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0.017</w:t>
            </w:r>
            <w:r>
              <w:rPr>
                <w:rFonts w:hint="default" w:ascii="Times New Roman" w:hAnsi="Times New Roman" w:cs="Times New Roman"/>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0.004</w:t>
            </w:r>
            <w:r>
              <w:rPr>
                <w:rFonts w:hint="default" w:ascii="Times New Roman" w:hAnsi="Times New Roman" w:cs="Times New Roman"/>
                <w:color w:val="000000" w:themeColor="text1"/>
                <w:sz w:val="24"/>
                <w:highlight w:val="none"/>
                <w:u w:val="single"/>
                <w14:textFill>
                  <w14:solidFill>
                    <w14:schemeClr w14:val="tx1"/>
                  </w14:solidFill>
                </w14:textFill>
              </w:rPr>
              <w:t>kg/h）。</w:t>
            </w:r>
          </w:p>
          <w:p w14:paraId="4755E147">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②</w:t>
            </w:r>
            <w:r>
              <w:rPr>
                <w:rFonts w:hint="default" w:ascii="Times New Roman" w:hAnsi="Times New Roman" w:cs="Times New Roman"/>
                <w:color w:val="000000" w:themeColor="text1"/>
                <w:highlight w:val="none"/>
                <w:u w:val="single"/>
                <w14:textFill>
                  <w14:solidFill>
                    <w14:schemeClr w14:val="tx1"/>
                  </w14:solidFill>
                </w14:textFill>
              </w:rPr>
              <w:t>装卸过程起尘</w:t>
            </w:r>
          </w:p>
          <w:p w14:paraId="6D86ED8A">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干式</w:t>
            </w:r>
            <w:r>
              <w:rPr>
                <w:rFonts w:hint="default" w:ascii="Times New Roman" w:hAnsi="Times New Roman" w:cs="Times New Roman"/>
                <w:color w:val="000000" w:themeColor="text1"/>
                <w:sz w:val="24"/>
                <w:highlight w:val="none"/>
                <w:u w:val="single"/>
                <w14:textFill>
                  <w14:solidFill>
                    <w14:schemeClr w14:val="tx1"/>
                  </w14:solidFill>
                </w14:textFill>
              </w:rPr>
              <w:t>填充工艺原料为干砂和袋装水泥</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lang w:val="en-US" w:eastAsia="zh-CN"/>
                <w14:textFill>
                  <w14:solidFill>
                    <w14:schemeClr w14:val="tx1"/>
                  </w14:solidFill>
                </w14:textFill>
              </w:rPr>
              <w:t>在</w:t>
            </w:r>
            <w:r>
              <w:rPr>
                <w:rFonts w:hint="default" w:ascii="Times New Roman" w:hAnsi="Times New Roman" w:cs="Times New Roman"/>
                <w:color w:val="000000" w:themeColor="text1"/>
                <w:highlight w:val="none"/>
                <w:u w:val="single"/>
                <w14:textFill>
                  <w14:solidFill>
                    <w14:schemeClr w14:val="tx1"/>
                  </w14:solidFill>
                </w14:textFill>
              </w:rPr>
              <w:t>装卸料将会产生一定量的粉尘。本项目采用交通部水运研究所和武汉水运工程学院提出的装卸起尘量的经验公式估算，经验公式为：</w:t>
            </w:r>
            <w:r>
              <w:rPr>
                <w:rFonts w:hint="default" w:ascii="Times New Roman" w:hAnsi="Times New Roman" w:cs="Times New Roman"/>
                <w:color w:val="000000" w:themeColor="text1"/>
                <w:highlight w:val="none"/>
                <w:u w:val="single"/>
                <w:lang w:bidi="ar"/>
                <w14:textFill>
                  <w14:solidFill>
                    <w14:schemeClr w14:val="tx1"/>
                  </w14:solidFill>
                </w14:textFill>
              </w:rPr>
              <w:t>Q=1/t（0.03u</w:t>
            </w:r>
            <w:r>
              <w:rPr>
                <w:rFonts w:hint="default" w:ascii="Times New Roman" w:hAnsi="Times New Roman" w:cs="Times New Roman"/>
                <w:color w:val="000000" w:themeColor="text1"/>
                <w:highlight w:val="none"/>
                <w:u w:val="single"/>
                <w:vertAlign w:val="superscript"/>
                <w:lang w:bidi="ar"/>
                <w14:textFill>
                  <w14:solidFill>
                    <w14:schemeClr w14:val="tx1"/>
                  </w14:solidFill>
                </w14:textFill>
              </w:rPr>
              <w:t>1.6</w:t>
            </w:r>
            <w:r>
              <w:rPr>
                <w:rFonts w:hint="default" w:ascii="Times New Roman" w:hAnsi="Times New Roman" w:cs="Times New Roman"/>
                <w:color w:val="000000" w:themeColor="text1"/>
                <w:highlight w:val="none"/>
                <w:u w:val="single"/>
                <w:lang w:bidi="ar"/>
                <w14:textFill>
                  <w14:solidFill>
                    <w14:schemeClr w14:val="tx1"/>
                  </w14:solidFill>
                </w14:textFill>
              </w:rPr>
              <w:t>H</w:t>
            </w:r>
            <w:r>
              <w:rPr>
                <w:rFonts w:hint="default" w:ascii="Times New Roman" w:hAnsi="Times New Roman" w:cs="Times New Roman"/>
                <w:color w:val="000000" w:themeColor="text1"/>
                <w:highlight w:val="none"/>
                <w:u w:val="single"/>
                <w:vertAlign w:val="superscript"/>
                <w:lang w:bidi="ar"/>
                <w14:textFill>
                  <w14:solidFill>
                    <w14:schemeClr w14:val="tx1"/>
                  </w14:solidFill>
                </w14:textFill>
              </w:rPr>
              <w:t>1.23</w:t>
            </w:r>
            <w:r>
              <w:rPr>
                <w:rFonts w:hint="default" w:ascii="Times New Roman" w:hAnsi="Times New Roman" w:cs="Times New Roman"/>
                <w:color w:val="000000" w:themeColor="text1"/>
                <w:highlight w:val="none"/>
                <w:u w:val="single"/>
                <w:lang w:bidi="ar"/>
                <w14:textFill>
                  <w14:solidFill>
                    <w14:schemeClr w14:val="tx1"/>
                  </w14:solidFill>
                </w14:textFill>
              </w:rPr>
              <w:t>e</w:t>
            </w:r>
            <w:r>
              <w:rPr>
                <w:rFonts w:hint="default" w:ascii="Times New Roman" w:hAnsi="Times New Roman" w:cs="Times New Roman"/>
                <w:color w:val="000000" w:themeColor="text1"/>
                <w:highlight w:val="none"/>
                <w:u w:val="single"/>
                <w:vertAlign w:val="superscript"/>
                <w:lang w:bidi="ar"/>
                <w14:textFill>
                  <w14:solidFill>
                    <w14:schemeClr w14:val="tx1"/>
                  </w14:solidFill>
                </w14:textFill>
              </w:rPr>
              <w:t>-0.28w</w:t>
            </w:r>
            <w:r>
              <w:rPr>
                <w:rFonts w:hint="default" w:ascii="Times New Roman" w:hAnsi="Times New Roman" w:cs="Times New Roman"/>
                <w:color w:val="000000" w:themeColor="text1"/>
                <w:highlight w:val="none"/>
                <w:u w:val="single"/>
                <w:lang w:bidi="ar"/>
                <w14:textFill>
                  <w14:solidFill>
                    <w14:schemeClr w14:val="tx1"/>
                  </w14:solidFill>
                </w14:textFill>
              </w:rPr>
              <w:t>）</w:t>
            </w:r>
          </w:p>
          <w:p w14:paraId="48A6C31E">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式中：Q—物料装车时机械落差起尘量，kg/s；</w:t>
            </w:r>
          </w:p>
          <w:p w14:paraId="607D5AB6">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u—平均风速，m/s；</w:t>
            </w:r>
          </w:p>
          <w:p w14:paraId="312A5472">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H—物料落差，m；</w:t>
            </w:r>
          </w:p>
          <w:p w14:paraId="1DC5B2A4">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w—物料含水率，%；</w:t>
            </w:r>
          </w:p>
          <w:p w14:paraId="780094BF">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t—物料装车所用时间，s/t。</w:t>
            </w:r>
          </w:p>
          <w:p w14:paraId="7CCDEA69">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根据本项目的情况，u取2m/s，H取0.4m，物料综合含水率约15%，装车平均时间t取10s/t，通过计算装卸起尘量约为2.825g/s，根据年产量为</w:t>
            </w:r>
            <w:r>
              <w:rPr>
                <w:rFonts w:hint="default" w:ascii="Times New Roman" w:hAnsi="Times New Roman" w:cs="Times New Roman"/>
                <w:color w:val="000000" w:themeColor="text1"/>
                <w:highlight w:val="none"/>
                <w:u w:val="single"/>
                <w:lang w:val="en-US" w:eastAsia="zh-CN"/>
                <w14:textFill>
                  <w14:solidFill>
                    <w14:schemeClr w14:val="tx1"/>
                  </w14:solidFill>
                </w14:textFill>
              </w:rPr>
              <w:t>57</w:t>
            </w:r>
            <w:r>
              <w:rPr>
                <w:rFonts w:hint="default" w:ascii="Times New Roman" w:hAnsi="Times New Roman" w:cs="Times New Roman"/>
                <w:color w:val="000000" w:themeColor="text1"/>
                <w:highlight w:val="none"/>
                <w:u w:val="single"/>
                <w14:textFill>
                  <w14:solidFill>
                    <w14:schemeClr w14:val="tx1"/>
                  </w14:solidFill>
                </w14:textFill>
              </w:rPr>
              <w:t>吨</w:t>
            </w:r>
            <w:r>
              <w:rPr>
                <w:rFonts w:hint="default" w:ascii="Times New Roman" w:hAnsi="Times New Roman" w:cs="Times New Roman"/>
                <w:color w:val="000000" w:themeColor="text1"/>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lang w:val="en-US" w:eastAsia="zh-CN"/>
                <w14:textFill>
                  <w14:solidFill>
                    <w14:schemeClr w14:val="tx1"/>
                  </w14:solidFill>
                </w14:textFill>
              </w:rPr>
              <w:t>湿式填充</w:t>
            </w:r>
            <w:r>
              <w:rPr>
                <w:rFonts w:hint="default" w:ascii="Times New Roman" w:hAnsi="Times New Roman" w:cs="Times New Roman"/>
                <w:color w:val="000000" w:themeColor="text1"/>
                <w:highlight w:val="none"/>
                <w:u w:val="single"/>
                <w:lang w:eastAsia="zh-CN"/>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，年装车时间约555.6h，每年由装车而引起的粉尘量约为</w:t>
            </w:r>
            <w:r>
              <w:rPr>
                <w:rFonts w:hint="default" w:ascii="Times New Roman" w:hAnsi="Times New Roman" w:cs="Times New Roman"/>
                <w:color w:val="000000" w:themeColor="text1"/>
                <w:highlight w:val="none"/>
                <w:u w:val="single"/>
                <w:lang w:val="en-US" w:eastAsia="zh-CN"/>
                <w14:textFill>
                  <w14:solidFill>
                    <w14:schemeClr w14:val="tx1"/>
                  </w14:solidFill>
                </w14:textFill>
              </w:rPr>
              <w:t>0.002</w:t>
            </w:r>
            <w:r>
              <w:rPr>
                <w:rFonts w:hint="default" w:ascii="Times New Roman" w:hAnsi="Times New Roman" w:cs="Times New Roman"/>
                <w:color w:val="000000" w:themeColor="text1"/>
                <w:highlight w:val="none"/>
                <w:u w:val="single"/>
                <w14:textFill>
                  <w14:solidFill>
                    <w14:schemeClr w14:val="tx1"/>
                  </w14:solidFill>
                </w14:textFill>
              </w:rPr>
              <w:t>t/a。在提高装车效率以缩短每天的装车时间，有效的抑制粉尘的排放量。</w:t>
            </w:r>
          </w:p>
          <w:p w14:paraId="33153EB5">
            <w:pPr>
              <w:spacing w:line="360" w:lineRule="auto"/>
              <w:ind w:firstLine="496"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pacing w:val="4"/>
                <w:sz w:val="24"/>
                <w:highlight w:val="none"/>
                <w:u w:val="single"/>
                <w14:textFill>
                  <w14:solidFill>
                    <w14:schemeClr w14:val="tx1"/>
                  </w14:solidFill>
                </w14:textFill>
              </w:rPr>
              <w:t>③</w:t>
            </w:r>
            <w:r>
              <w:rPr>
                <w:rFonts w:hint="default" w:ascii="Times New Roman" w:hAnsi="Times New Roman" w:cs="Times New Roman"/>
                <w:color w:val="000000" w:themeColor="text1"/>
                <w:spacing w:val="4"/>
                <w:sz w:val="24"/>
                <w:highlight w:val="none"/>
                <w:u w:val="single"/>
                <w:lang w:val="en-US" w:eastAsia="zh-CN"/>
                <w14:textFill>
                  <w14:solidFill>
                    <w14:schemeClr w14:val="tx1"/>
                  </w14:solidFill>
                </w14:textFill>
              </w:rPr>
              <w:t>物料</w:t>
            </w:r>
            <w:r>
              <w:rPr>
                <w:rFonts w:hint="default" w:ascii="Times New Roman" w:hAnsi="Times New Roman" w:cs="Times New Roman"/>
                <w:color w:val="000000" w:themeColor="text1"/>
                <w:sz w:val="24"/>
                <w:highlight w:val="none"/>
                <w:u w:val="single"/>
                <w14:textFill>
                  <w14:solidFill>
                    <w14:schemeClr w14:val="tx1"/>
                  </w14:solidFill>
                </w14:textFill>
              </w:rPr>
              <w:t>输送</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4"/>
                <w:highlight w:val="none"/>
                <w:u w:val="single"/>
                <w14:textFill>
                  <w14:solidFill>
                    <w14:schemeClr w14:val="tx1"/>
                  </w14:solidFill>
                </w14:textFill>
              </w:rPr>
              <w:t>粉尘</w:t>
            </w:r>
          </w:p>
          <w:p w14:paraId="12C50D82">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w:t>
            </w:r>
            <w:r>
              <w:rPr>
                <w:rFonts w:hint="default" w:ascii="Times New Roman" w:hAnsi="Times New Roman" w:cs="Times New Roman"/>
                <w:color w:val="000000" w:themeColor="text1"/>
                <w:sz w:val="24"/>
                <w:highlight w:val="none"/>
                <w:u w:val="single"/>
                <w14:textFill>
                  <w14:solidFill>
                    <w14:schemeClr w14:val="tx1"/>
                  </w14:solidFill>
                </w14:textFill>
              </w:rPr>
              <w:t>铸件、铸钢坯、赤铁矿、锰矿石等原辅材料</w:t>
            </w:r>
            <w:r>
              <w:rPr>
                <w:rFonts w:hint="default" w:ascii="Times New Roman" w:hAnsi="Times New Roman" w:cs="Times New Roman"/>
                <w:color w:val="000000" w:themeColor="text1"/>
                <w:sz w:val="24"/>
                <w:highlight w:val="none"/>
                <w:u w:val="single"/>
                <w14:textFill>
                  <w14:solidFill>
                    <w14:schemeClr w14:val="tx1"/>
                  </w14:solidFill>
                </w14:textFill>
              </w:rPr>
              <w:t>进行生产，</w:t>
            </w:r>
            <w:r>
              <w:rPr>
                <w:rFonts w:hint="default" w:ascii="Times New Roman" w:hAnsi="Times New Roman" w:cs="Times New Roman"/>
                <w:color w:val="000000" w:themeColor="text1"/>
                <w:sz w:val="24"/>
                <w:highlight w:val="none"/>
                <w:u w:val="single"/>
                <w14:textFill>
                  <w14:solidFill>
                    <w14:schemeClr w14:val="tx1"/>
                  </w14:solidFill>
                </w14:textFill>
              </w:rPr>
              <w:t>无需破碎</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且</w:t>
            </w:r>
            <w:r>
              <w:rPr>
                <w:rFonts w:hint="default" w:ascii="Times New Roman" w:hAnsi="Times New Roman" w:cs="Times New Roman"/>
                <w:color w:val="000000" w:themeColor="text1"/>
                <w:sz w:val="24"/>
                <w:highlight w:val="none"/>
                <w:u w:val="single"/>
                <w14:textFill>
                  <w14:solidFill>
                    <w14:schemeClr w14:val="tx1"/>
                  </w14:solidFill>
                </w14:textFill>
              </w:rPr>
              <w:t>粒径较大</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生产线运行过程中，</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干砂和袋装水泥人工送到移动式</w:t>
            </w:r>
            <w:r>
              <w:rPr>
                <w:rFonts w:hint="default" w:ascii="Times New Roman" w:hAnsi="Times New Roman" w:cs="Times New Roman"/>
                <w:color w:val="000000" w:themeColor="text1"/>
                <w:sz w:val="24"/>
                <w:highlight w:val="none"/>
                <w:u w:val="single"/>
                <w14:textFill>
                  <w14:solidFill>
                    <w14:schemeClr w14:val="tx1"/>
                  </w14:solidFill>
                </w14:textFill>
              </w:rPr>
              <w:t>搅拌</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机</w:t>
            </w:r>
            <w:r>
              <w:rPr>
                <w:rFonts w:hint="default" w:ascii="Times New Roman" w:hAnsi="Times New Roman" w:cs="Times New Roman"/>
                <w:color w:val="000000" w:themeColor="text1"/>
                <w:sz w:val="24"/>
                <w:highlight w:val="none"/>
                <w:u w:val="single"/>
                <w14:textFill>
                  <w14:solidFill>
                    <w14:schemeClr w14:val="tx1"/>
                  </w14:solidFill>
                </w14:textFill>
              </w:rPr>
              <w:t>内，</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湿式作业时加入水进行搅拌，会有</w:t>
            </w:r>
            <w:r>
              <w:rPr>
                <w:rFonts w:hint="default" w:ascii="Times New Roman" w:hAnsi="Times New Roman" w:cs="Times New Roman"/>
                <w:color w:val="000000" w:themeColor="text1"/>
                <w:sz w:val="24"/>
                <w:highlight w:val="none"/>
                <w:u w:val="single"/>
                <w14:textFill>
                  <w14:solidFill>
                    <w14:schemeClr w14:val="tx1"/>
                  </w14:solidFill>
                </w14:textFill>
              </w:rPr>
              <w:t>粉尘</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产生</w:t>
            </w:r>
            <w:r>
              <w:rPr>
                <w:rFonts w:hint="default" w:ascii="Times New Roman" w:hAnsi="Times New Roman" w:cs="Times New Roman"/>
                <w:color w:val="000000" w:themeColor="text1"/>
                <w:sz w:val="24"/>
                <w:highlight w:val="none"/>
                <w:u w:val="single"/>
                <w14:textFill>
                  <w14:solidFill>
                    <w14:schemeClr w14:val="tx1"/>
                  </w14:solidFill>
                </w14:textFill>
              </w:rPr>
              <w:t>。</w:t>
            </w:r>
          </w:p>
          <w:p w14:paraId="7DDD6381">
            <w:pPr>
              <w:spacing w:line="360" w:lineRule="auto"/>
              <w:ind w:firstLine="480" w:firstLineChars="200"/>
              <w:jc w:val="left"/>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类比同类项目，本项目在输送、</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4"/>
                <w:highlight w:val="none"/>
                <w:u w:val="single"/>
                <w14:textFill>
                  <w14:solidFill>
                    <w14:schemeClr w14:val="tx1"/>
                  </w14:solidFill>
                </w14:textFill>
              </w:rPr>
              <w:t>过程产生的粉尘量为0.5t/a</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产生的该部分粉尘经</w:t>
            </w:r>
            <w:r>
              <w:rPr>
                <w:rFonts w:hint="default" w:ascii="Times New Roman" w:hAnsi="Times New Roman" w:cs="Times New Roman"/>
                <w:color w:val="000000" w:themeColor="text1"/>
                <w:sz w:val="24"/>
                <w:highlight w:val="none"/>
                <w:u w:val="single"/>
                <w:lang w:val="en-US" w:eastAsia="zh-CN"/>
                <w14:textFill>
                  <w14:solidFill>
                    <w14:schemeClr w14:val="tx1"/>
                  </w14:solidFill>
                </w14:textFill>
              </w:rPr>
              <w:t>洒水抑尘后</w:t>
            </w:r>
            <w:r>
              <w:rPr>
                <w:rFonts w:hint="default" w:ascii="Times New Roman" w:hAnsi="Times New Roman" w:cs="Times New Roman"/>
                <w:color w:val="000000" w:themeColor="text1"/>
                <w:sz w:val="24"/>
                <w:highlight w:val="none"/>
                <w:u w:val="single"/>
                <w14:textFill>
                  <w14:solidFill>
                    <w14:schemeClr w14:val="tx1"/>
                  </w14:solidFill>
                </w14:textFill>
              </w:rPr>
              <w:t>以无组织形式外排入大气中。</w:t>
            </w:r>
          </w:p>
          <w:p w14:paraId="52A7B74F">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w:t>
            </w:r>
            <w:r>
              <w:rPr>
                <w:rFonts w:hint="default" w:ascii="Times New Roman" w:hAnsi="Times New Roman" w:cs="Times New Roman"/>
                <w:b/>
                <w:bCs/>
                <w:color w:val="000000" w:themeColor="text1"/>
                <w:sz w:val="24"/>
                <w:highlight w:val="none"/>
                <w14:textFill>
                  <w14:solidFill>
                    <w14:schemeClr w14:val="tx1"/>
                  </w14:solidFill>
                </w14:textFill>
              </w:rPr>
              <w:t>2</w:t>
            </w:r>
            <w:r>
              <w:rPr>
                <w:rFonts w:hint="default" w:ascii="Times New Roman" w:hAnsi="Times New Roman" w:cs="Times New Roman"/>
                <w:b/>
                <w:bCs/>
                <w:color w:val="000000" w:themeColor="text1"/>
                <w:sz w:val="24"/>
                <w:highlight w:val="none"/>
                <w14:textFill>
                  <w14:solidFill>
                    <w14:schemeClr w14:val="tx1"/>
                  </w14:solidFill>
                </w14:textFill>
              </w:rPr>
              <w:t>）预处理区产生的废气</w:t>
            </w:r>
          </w:p>
          <w:p w14:paraId="0730312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在喷漆工序前需对项目使用的各类钢板材料进行切割下料、焊接、抛丸等工序，切割下料采用激光切割机和等离子切割机，激光切割机相比可燃气切割、等离子切割等精度高、切割间隙小、切割端面光滑，产生的污染较小等优点。</w:t>
            </w:r>
          </w:p>
          <w:p w14:paraId="5EDAB51B">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①激光切割机切割下料粉尘</w:t>
            </w:r>
          </w:p>
          <w:p w14:paraId="0762A407">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使用数控激光切割机下料。金属材料激光切割时，释放出烟尘颗粒大小可分为尘埃（颗粒大小超过1μm）、气溶胶（颗粒小于1μm，气溶胶是一种含有细微分布的固体或液体气体）及气体，其中97%的颗粒直径小于5.7μm。依据《激光切割烟尘分析及除尘系统》（王志刚，2011）与企业提供资料，原材料钢板厚度在2~25mm不等，其中2~10mm钢板用量较大，本次评价参考切割6mm厚低碳钢板，每切割1m烟尘排放量为440mg，激光切割速度一般在2~10m；本次评价按平均5m/min计，则每小时烟尘产生量为0.132kg/h，本项目年工作时间1200h，则激光下料烟尘颗粒物产生量为0.16t/a，产生速率为0.13kg/h。下料切割的瞬间会有大粒径的颗粒飞溅出来沉降到地面，易于沉降，约占切割粉尘量的90%，沉降部分约为0.14t/a；未沉降的金属粉尘为粒径相对较小的粉尘，产生量为0.02t/a；通过车间阻隔沉降量约占60%，车间车沉降量约为0.01t/a，则呈无组织排放量约0.01t/a，排放速率为0.008kg/h；车间沉降的金属颗粒物及时清理后作为固</w:t>
            </w:r>
            <w:r>
              <w:rPr>
                <w:rFonts w:hint="default" w:ascii="Times New Roman" w:hAnsi="Times New Roman" w:cs="Times New Roman"/>
                <w:color w:val="000000" w:themeColor="text1"/>
                <w:sz w:val="24"/>
                <w:szCs w:val="24"/>
                <w:highlight w:val="none"/>
                <w14:textFill>
                  <w14:solidFill>
                    <w14:schemeClr w14:val="tx1"/>
                  </w14:solidFill>
                </w14:textFill>
              </w:rPr>
              <w:t>废处理。</w:t>
            </w:r>
          </w:p>
          <w:p w14:paraId="6E3B6480">
            <w:pPr>
              <w:pStyle w:val="18"/>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②等离子切割机切割下料粉尘</w:t>
            </w:r>
          </w:p>
          <w:p w14:paraId="778B7909">
            <w:pPr>
              <w:adjustRightInd w:val="0"/>
              <w:snapToGrid w:val="0"/>
              <w:spacing w:line="360" w:lineRule="auto"/>
              <w:ind w:firstLine="480" w:firstLineChars="200"/>
              <w:rPr>
                <w:rFonts w:hint="default" w:ascii="Times New Roman" w:hAnsi="Times New Roman" w:cs="Times New Roman"/>
                <w:bCs/>
                <w:snapToGrid w:val="0"/>
                <w:color w:val="000000" w:themeColor="text1"/>
                <w:kern w:val="0"/>
                <w:sz w:val="24"/>
                <w:highlight w:val="none"/>
                <w14:textFill>
                  <w14:solidFill>
                    <w14:schemeClr w14:val="tx1"/>
                  </w14:solidFill>
                </w14:textFill>
              </w:rPr>
            </w:pPr>
            <w:r>
              <w:rPr>
                <w:rFonts w:hint="default" w:ascii="Times New Roman" w:hAnsi="Times New Roman" w:cs="Times New Roman"/>
                <w:bCs/>
                <w:snapToGrid w:val="0"/>
                <w:color w:val="000000" w:themeColor="text1"/>
                <w:kern w:val="0"/>
                <w:sz w:val="24"/>
                <w:highlight w:val="none"/>
                <w14:textFill>
                  <w14:solidFill>
                    <w14:schemeClr w14:val="tx1"/>
                  </w14:solidFill>
                </w14:textFill>
              </w:rPr>
              <w:t>根据中华人民共和国生态环境部印发《排放源统计调查产排污核算方法和系数手册》机械行业系数手册中04下料-切割”中污染物的产排污系数可知产污情况见下表：</w:t>
            </w:r>
          </w:p>
          <w:p w14:paraId="3CAF35E5">
            <w:pPr>
              <w:pStyle w:val="73"/>
              <w:tabs>
                <w:tab w:val="center" w:pos="4817"/>
                <w:tab w:val="left" w:pos="7950"/>
              </w:tabs>
              <w:rPr>
                <w:rFonts w:hint="default" w:ascii="Times New Roman" w:hAnsi="Times New Roman" w:cs="Times New Roman"/>
                <w:snapToGrid w:val="0"/>
                <w:color w:val="000000" w:themeColor="text1"/>
                <w:sz w:val="21"/>
                <w:szCs w:val="21"/>
                <w:highlight w:val="none"/>
                <w14:textFill>
                  <w14:solidFill>
                    <w14:schemeClr w14:val="tx1"/>
                  </w14:solidFill>
                </w14:textFill>
              </w:rPr>
            </w:pPr>
            <w:r>
              <w:rPr>
                <w:rFonts w:hint="default" w:ascii="Times New Roman" w:hAnsi="Times New Roman" w:cs="Times New Roman"/>
                <w:snapToGrid w:val="0"/>
                <w:color w:val="000000" w:themeColor="text1"/>
                <w:sz w:val="21"/>
                <w:szCs w:val="21"/>
                <w:highlight w:val="none"/>
                <w14:textFill>
                  <w14:solidFill>
                    <w14:schemeClr w14:val="tx1"/>
                  </w14:solidFill>
                </w14:textFill>
              </w:rPr>
              <w:t>表4-1  预处理-切割产污系数表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347"/>
              <w:gridCol w:w="941"/>
              <w:gridCol w:w="2119"/>
              <w:gridCol w:w="1715"/>
              <w:gridCol w:w="1126"/>
              <w:gridCol w:w="579"/>
            </w:tblGrid>
            <w:tr w14:paraId="38016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pct"/>
                  <w:vAlign w:val="center"/>
                </w:tcPr>
                <w:p w14:paraId="28B37420">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产品名称</w:t>
                  </w:r>
                </w:p>
              </w:tc>
              <w:tc>
                <w:tcPr>
                  <w:tcW w:w="795" w:type="pct"/>
                  <w:noWrap/>
                  <w:vAlign w:val="center"/>
                </w:tcPr>
                <w:p w14:paraId="077AB29D">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工艺</w:t>
                  </w:r>
                </w:p>
                <w:p w14:paraId="0922F35A">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名称</w:t>
                  </w:r>
                </w:p>
              </w:tc>
              <w:tc>
                <w:tcPr>
                  <w:tcW w:w="555" w:type="pct"/>
                  <w:noWrap/>
                  <w:vAlign w:val="center"/>
                </w:tcPr>
                <w:p w14:paraId="1CDE6DA8">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规模等级</w:t>
                  </w:r>
                </w:p>
              </w:tc>
              <w:tc>
                <w:tcPr>
                  <w:tcW w:w="1251" w:type="pct"/>
                  <w:noWrap/>
                  <w:vAlign w:val="center"/>
                </w:tcPr>
                <w:p w14:paraId="1C219515">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污染物指标</w:t>
                  </w:r>
                </w:p>
              </w:tc>
              <w:tc>
                <w:tcPr>
                  <w:tcW w:w="1012" w:type="pct"/>
                  <w:noWrap/>
                  <w:vAlign w:val="center"/>
                </w:tcPr>
                <w:p w14:paraId="4F61124E">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单位</w:t>
                  </w:r>
                </w:p>
              </w:tc>
              <w:tc>
                <w:tcPr>
                  <w:tcW w:w="664" w:type="pct"/>
                  <w:noWrap/>
                  <w:vAlign w:val="center"/>
                </w:tcPr>
                <w:p w14:paraId="5A0825B5">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产污系数</w:t>
                  </w:r>
                </w:p>
              </w:tc>
              <w:tc>
                <w:tcPr>
                  <w:tcW w:w="342" w:type="pct"/>
                  <w:vAlign w:val="center"/>
                </w:tcPr>
                <w:p w14:paraId="059B75C3">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末端治理技术</w:t>
                  </w:r>
                </w:p>
              </w:tc>
            </w:tr>
            <w:tr w14:paraId="730DF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pct"/>
                  <w:vMerge w:val="restart"/>
                  <w:vAlign w:val="center"/>
                </w:tcPr>
                <w:p w14:paraId="28F117EE">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下料</w:t>
                  </w:r>
                </w:p>
              </w:tc>
              <w:tc>
                <w:tcPr>
                  <w:tcW w:w="795" w:type="pct"/>
                  <w:vMerge w:val="restart"/>
                  <w:noWrap/>
                  <w:vAlign w:val="center"/>
                </w:tcPr>
                <w:p w14:paraId="442FBEC8">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切割</w:t>
                  </w:r>
                </w:p>
              </w:tc>
              <w:tc>
                <w:tcPr>
                  <w:tcW w:w="555" w:type="pct"/>
                  <w:vMerge w:val="restart"/>
                  <w:noWrap/>
                  <w:vAlign w:val="center"/>
                </w:tcPr>
                <w:p w14:paraId="76B6D6C5">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所有规模</w:t>
                  </w:r>
                </w:p>
              </w:tc>
              <w:tc>
                <w:tcPr>
                  <w:tcW w:w="1251" w:type="pct"/>
                  <w:noWrap/>
                  <w:vAlign w:val="center"/>
                </w:tcPr>
                <w:p w14:paraId="5F5A34C8">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工业废气量</w:t>
                  </w:r>
                </w:p>
              </w:tc>
              <w:tc>
                <w:tcPr>
                  <w:tcW w:w="1012" w:type="pct"/>
                  <w:noWrap/>
                  <w:vAlign w:val="center"/>
                </w:tcPr>
                <w:p w14:paraId="22A7C82E">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立方米/吨-原料</w:t>
                  </w:r>
                </w:p>
              </w:tc>
              <w:tc>
                <w:tcPr>
                  <w:tcW w:w="664" w:type="pct"/>
                  <w:noWrap/>
                  <w:vAlign w:val="center"/>
                </w:tcPr>
                <w:p w14:paraId="19B7594A">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4635</w:t>
                  </w:r>
                </w:p>
              </w:tc>
              <w:tc>
                <w:tcPr>
                  <w:tcW w:w="342" w:type="pct"/>
                  <w:vMerge w:val="restart"/>
                  <w:vAlign w:val="center"/>
                </w:tcPr>
                <w:p w14:paraId="29E937C9">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布袋除尘</w:t>
                  </w:r>
                </w:p>
              </w:tc>
            </w:tr>
            <w:tr w14:paraId="56E6A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76" w:type="pct"/>
                  <w:vMerge w:val="continue"/>
                  <w:vAlign w:val="center"/>
                </w:tcPr>
                <w:p w14:paraId="7953F076">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p>
              </w:tc>
              <w:tc>
                <w:tcPr>
                  <w:tcW w:w="795" w:type="pct"/>
                  <w:vMerge w:val="continue"/>
                  <w:noWrap/>
                  <w:vAlign w:val="center"/>
                </w:tcPr>
                <w:p w14:paraId="243CDA93">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p>
              </w:tc>
              <w:tc>
                <w:tcPr>
                  <w:tcW w:w="555" w:type="pct"/>
                  <w:vMerge w:val="continue"/>
                  <w:noWrap/>
                  <w:vAlign w:val="center"/>
                </w:tcPr>
                <w:p w14:paraId="4D9A0F0B">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p>
              </w:tc>
              <w:tc>
                <w:tcPr>
                  <w:tcW w:w="1251" w:type="pct"/>
                  <w:noWrap/>
                  <w:vAlign w:val="center"/>
                </w:tcPr>
                <w:p w14:paraId="2A400A70">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1012" w:type="pct"/>
                  <w:noWrap/>
                  <w:vAlign w:val="center"/>
                </w:tcPr>
                <w:p w14:paraId="75DD44AC">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千克/吨-原料</w:t>
                  </w:r>
                </w:p>
              </w:tc>
              <w:tc>
                <w:tcPr>
                  <w:tcW w:w="664" w:type="pct"/>
                  <w:noWrap/>
                  <w:vAlign w:val="center"/>
                </w:tcPr>
                <w:p w14:paraId="44A08075">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1.10</w:t>
                  </w:r>
                </w:p>
              </w:tc>
              <w:tc>
                <w:tcPr>
                  <w:tcW w:w="342" w:type="pct"/>
                  <w:vMerge w:val="continue"/>
                  <w:vAlign w:val="center"/>
                </w:tcPr>
                <w:p w14:paraId="5C6CD9A6">
                  <w:pPr>
                    <w:pStyle w:val="74"/>
                    <w:ind w:left="-105" w:leftChars="-50" w:right="-105" w:rightChars="-50"/>
                    <w:rPr>
                      <w:rFonts w:hint="default" w:ascii="Times New Roman" w:hAnsi="Times New Roman" w:cs="Times New Roman"/>
                      <w:color w:val="000000" w:themeColor="text1"/>
                      <w:sz w:val="21"/>
                      <w:szCs w:val="21"/>
                      <w:highlight w:val="none"/>
                      <w14:textFill>
                        <w14:solidFill>
                          <w14:schemeClr w14:val="tx1"/>
                        </w14:solidFill>
                      </w14:textFill>
                    </w:rPr>
                  </w:pPr>
                </w:p>
              </w:tc>
            </w:tr>
          </w:tbl>
          <w:p w14:paraId="6A2D40A6">
            <w:pPr>
              <w:pStyle w:val="17"/>
              <w:spacing w:before="0" w:after="0" w:line="360" w:lineRule="auto"/>
              <w:ind w:right="0"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Cs/>
                <w:snapToGrid w:val="0"/>
                <w:color w:val="000000" w:themeColor="text1"/>
                <w:sz w:val="24"/>
                <w:szCs w:val="24"/>
                <w:highlight w:val="none"/>
                <w14:textFill>
                  <w14:solidFill>
                    <w14:schemeClr w14:val="tx1"/>
                  </w14:solidFill>
                </w14:textFill>
              </w:rPr>
              <w:t>本项目</w:t>
            </w:r>
            <w:r>
              <w:rPr>
                <w:rFonts w:hint="default" w:ascii="Times New Roman" w:hAnsi="Times New Roman" w:cs="Times New Roman"/>
                <w:color w:val="000000" w:themeColor="text1"/>
                <w:sz w:val="24"/>
                <w:highlight w:val="none"/>
                <w14:textFill>
                  <w14:solidFill>
                    <w14:schemeClr w14:val="tx1"/>
                  </w14:solidFill>
                </w14:textFill>
              </w:rPr>
              <w:t>结构件原料用量为1800t/a，年工作时间约2400h，</w:t>
            </w:r>
            <w:r>
              <w:rPr>
                <w:rFonts w:hint="default" w:ascii="Times New Roman" w:hAnsi="Times New Roman" w:cs="Times New Roman"/>
                <w:bCs/>
                <w:snapToGrid w:val="0"/>
                <w:color w:val="000000" w:themeColor="text1"/>
                <w:sz w:val="24"/>
                <w:szCs w:val="24"/>
                <w:highlight w:val="none"/>
                <w14:textFill>
                  <w14:solidFill>
                    <w14:schemeClr w14:val="tx1"/>
                  </w14:solidFill>
                </w14:textFill>
              </w:rPr>
              <w:t>则颗粒物产生量为1.98t/a，在切割区安装吸气集尘罩，</w:t>
            </w:r>
            <w:r>
              <w:rPr>
                <w:rFonts w:hint="default" w:ascii="Times New Roman" w:hAnsi="Times New Roman" w:cs="Times New Roman"/>
                <w:color w:val="000000" w:themeColor="text1"/>
                <w:sz w:val="24"/>
                <w:highlight w:val="none"/>
                <w14:textFill>
                  <w14:solidFill>
                    <w14:schemeClr w14:val="tx1"/>
                  </w14:solidFill>
                </w14:textFill>
              </w:rPr>
              <w:t>设置风机风量为20000m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/h，</w:t>
            </w:r>
            <w:r>
              <w:rPr>
                <w:rFonts w:hint="default" w:ascii="Times New Roman" w:hAnsi="Times New Roman" w:cs="Times New Roman"/>
                <w:bCs/>
                <w:snapToGrid w:val="0"/>
                <w:color w:val="000000" w:themeColor="text1"/>
                <w:sz w:val="24"/>
                <w:szCs w:val="24"/>
                <w:highlight w:val="none"/>
                <w14:textFill>
                  <w14:solidFill>
                    <w14:schemeClr w14:val="tx1"/>
                  </w14:solidFill>
                </w14:textFill>
              </w:rPr>
              <w:t>将颗粒物及时收集，收集率不低于90%，颗粒物经排气管道送入布袋除尘器进行除尘处理后</w:t>
            </w:r>
            <w:r>
              <w:rPr>
                <w:rFonts w:hint="default" w:ascii="Times New Roman" w:hAnsi="Times New Roman" w:cs="Times New Roman"/>
                <w:color w:val="000000" w:themeColor="text1"/>
                <w:sz w:val="24"/>
                <w:highlight w:val="none"/>
                <w14:textFill>
                  <w14:solidFill>
                    <w14:schemeClr w14:val="tx1"/>
                  </w14:solidFill>
                </w14:textFill>
              </w:rPr>
              <w:t>15m高排气筒（DA001）外排</w:t>
            </w:r>
            <w:r>
              <w:rPr>
                <w:rFonts w:hint="default" w:ascii="Times New Roman" w:hAnsi="Times New Roman" w:cs="Times New Roman"/>
                <w:bCs/>
                <w:snapToGrid w:val="0"/>
                <w:color w:val="000000" w:themeColor="text1"/>
                <w:sz w:val="24"/>
                <w:szCs w:val="24"/>
                <w:highlight w:val="none"/>
                <w14:textFill>
                  <w14:solidFill>
                    <w14:schemeClr w14:val="tx1"/>
                  </w14:solidFill>
                </w14:textFill>
              </w:rPr>
              <w:t>，布袋除尘器除尘效率取95%。未被捕集粉尘通过车间内排气扇强制通风，该部分粉尘以无组织形式排放。</w:t>
            </w:r>
          </w:p>
          <w:p w14:paraId="65160FCC">
            <w:pPr>
              <w:pStyle w:val="17"/>
              <w:spacing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③抛丸粉尘</w:t>
            </w:r>
          </w:p>
          <w:p w14:paraId="45DBCF54">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本项目抛丸工序产污根据《排放源统计调查产排污核算方法和系数手册》（生态环境部公告2021年第24号）中：33 金属制品业中的产污系数中06预处理：抛丸工艺中产排污系数，具体见下表。</w:t>
            </w:r>
          </w:p>
          <w:p w14:paraId="271DD11A">
            <w:pPr>
              <w:pStyle w:val="17"/>
              <w:spacing w:line="240" w:lineRule="auto"/>
              <w:ind w:firstLine="24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表4-2  金属制品业行业系数表</w:t>
            </w:r>
          </w:p>
          <w:tbl>
            <w:tblPr>
              <w:tblStyle w:val="34"/>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02"/>
              <w:gridCol w:w="845"/>
              <w:gridCol w:w="854"/>
              <w:gridCol w:w="703"/>
              <w:gridCol w:w="420"/>
              <w:gridCol w:w="845"/>
              <w:gridCol w:w="988"/>
              <w:gridCol w:w="844"/>
              <w:gridCol w:w="701"/>
              <w:gridCol w:w="893"/>
            </w:tblGrid>
            <w:tr w14:paraId="34863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8" w:type="pct"/>
                  <w:vAlign w:val="center"/>
                </w:tcPr>
                <w:p w14:paraId="22D2E5A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工段名称</w:t>
                  </w:r>
                </w:p>
              </w:tc>
              <w:tc>
                <w:tcPr>
                  <w:tcW w:w="414" w:type="pct"/>
                  <w:vAlign w:val="center"/>
                </w:tcPr>
                <w:p w14:paraId="232AF4B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产品名称</w:t>
                  </w:r>
                </w:p>
              </w:tc>
              <w:tc>
                <w:tcPr>
                  <w:tcW w:w="498" w:type="pct"/>
                  <w:vAlign w:val="center"/>
                </w:tcPr>
                <w:p w14:paraId="3D00EFF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原料名称</w:t>
                  </w:r>
                </w:p>
              </w:tc>
              <w:tc>
                <w:tcPr>
                  <w:tcW w:w="503" w:type="pct"/>
                  <w:vAlign w:val="center"/>
                </w:tcPr>
                <w:p w14:paraId="55B03CA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工艺名称</w:t>
                  </w:r>
                </w:p>
              </w:tc>
              <w:tc>
                <w:tcPr>
                  <w:tcW w:w="415" w:type="pct"/>
                  <w:vAlign w:val="center"/>
                </w:tcPr>
                <w:p w14:paraId="1A89FF1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规模等级</w:t>
                  </w:r>
                </w:p>
              </w:tc>
              <w:tc>
                <w:tcPr>
                  <w:tcW w:w="747" w:type="pct"/>
                  <w:gridSpan w:val="2"/>
                  <w:vAlign w:val="center"/>
                </w:tcPr>
                <w:p w14:paraId="78B12AB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污染物指标</w:t>
                  </w:r>
                </w:p>
              </w:tc>
              <w:tc>
                <w:tcPr>
                  <w:tcW w:w="582" w:type="pct"/>
                  <w:vAlign w:val="center"/>
                </w:tcPr>
                <w:p w14:paraId="0B6CB6A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单位</w:t>
                  </w:r>
                </w:p>
              </w:tc>
              <w:tc>
                <w:tcPr>
                  <w:tcW w:w="498" w:type="pct"/>
                  <w:vAlign w:val="center"/>
                </w:tcPr>
                <w:p w14:paraId="2105881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产污系数</w:t>
                  </w:r>
                </w:p>
              </w:tc>
              <w:tc>
                <w:tcPr>
                  <w:tcW w:w="414" w:type="pct"/>
                  <w:vAlign w:val="center"/>
                </w:tcPr>
                <w:p w14:paraId="180368E1">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末端治理技术名称</w:t>
                  </w:r>
                </w:p>
              </w:tc>
              <w:tc>
                <w:tcPr>
                  <w:tcW w:w="526" w:type="pct"/>
                  <w:vAlign w:val="center"/>
                </w:tcPr>
                <w:p w14:paraId="1E4F6DA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末端治理技术效率（%）</w:t>
                  </w:r>
                </w:p>
              </w:tc>
            </w:tr>
            <w:tr w14:paraId="47AEF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 w:type="pct"/>
                  <w:vMerge w:val="restart"/>
                  <w:vAlign w:val="center"/>
                </w:tcPr>
                <w:p w14:paraId="7307034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预处理</w:t>
                  </w:r>
                </w:p>
              </w:tc>
              <w:tc>
                <w:tcPr>
                  <w:tcW w:w="414" w:type="pct"/>
                  <w:vMerge w:val="restart"/>
                  <w:vAlign w:val="center"/>
                </w:tcPr>
                <w:p w14:paraId="14F5A1CB">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干式预处理件</w:t>
                  </w:r>
                </w:p>
              </w:tc>
              <w:tc>
                <w:tcPr>
                  <w:tcW w:w="498" w:type="pct"/>
                  <w:vMerge w:val="restart"/>
                  <w:vAlign w:val="center"/>
                </w:tcPr>
                <w:p w14:paraId="663149F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钢材（含板材、构件等）…</w:t>
                  </w:r>
                </w:p>
              </w:tc>
              <w:tc>
                <w:tcPr>
                  <w:tcW w:w="503" w:type="pct"/>
                  <w:vMerge w:val="restart"/>
                  <w:vAlign w:val="center"/>
                </w:tcPr>
                <w:p w14:paraId="6BDEDE0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抛丸、喷砂、打磨、滚筒</w:t>
                  </w:r>
                </w:p>
              </w:tc>
              <w:tc>
                <w:tcPr>
                  <w:tcW w:w="415" w:type="pct"/>
                  <w:vMerge w:val="restart"/>
                  <w:vAlign w:val="center"/>
                </w:tcPr>
                <w:p w14:paraId="3B6E9A5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所有规模</w:t>
                  </w:r>
                </w:p>
              </w:tc>
              <w:tc>
                <w:tcPr>
                  <w:tcW w:w="248" w:type="pct"/>
                  <w:vMerge w:val="restart"/>
                  <w:vAlign w:val="center"/>
                </w:tcPr>
                <w:p w14:paraId="6197A31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499" w:type="pct"/>
                  <w:vAlign w:val="center"/>
                </w:tcPr>
                <w:p w14:paraId="3C71554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工业废气量</w:t>
                  </w:r>
                </w:p>
              </w:tc>
              <w:tc>
                <w:tcPr>
                  <w:tcW w:w="582" w:type="pct"/>
                  <w:vAlign w:val="center"/>
                </w:tcPr>
                <w:p w14:paraId="0557980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立方米/吨-原料</w:t>
                  </w:r>
                </w:p>
              </w:tc>
              <w:tc>
                <w:tcPr>
                  <w:tcW w:w="498" w:type="pct"/>
                  <w:vAlign w:val="center"/>
                </w:tcPr>
                <w:p w14:paraId="118D242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8500</w:t>
                  </w:r>
                </w:p>
              </w:tc>
              <w:tc>
                <w:tcPr>
                  <w:tcW w:w="414" w:type="pct"/>
                  <w:vAlign w:val="center"/>
                </w:tcPr>
                <w:p w14:paraId="4E169C9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526" w:type="pct"/>
                  <w:vAlign w:val="center"/>
                </w:tcPr>
                <w:p w14:paraId="20B4DAF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14:paraId="2B023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 w:type="pct"/>
                  <w:vMerge w:val="continue"/>
                  <w:vAlign w:val="center"/>
                </w:tcPr>
                <w:p w14:paraId="59054E9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14" w:type="pct"/>
                  <w:vMerge w:val="continue"/>
                  <w:vAlign w:val="center"/>
                </w:tcPr>
                <w:p w14:paraId="5BC257AA">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98" w:type="pct"/>
                  <w:vMerge w:val="continue"/>
                  <w:vAlign w:val="center"/>
                </w:tcPr>
                <w:p w14:paraId="1513265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503" w:type="pct"/>
                  <w:vMerge w:val="continue"/>
                  <w:vAlign w:val="center"/>
                </w:tcPr>
                <w:p w14:paraId="7154C35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15" w:type="pct"/>
                  <w:vMerge w:val="continue"/>
                  <w:vAlign w:val="center"/>
                </w:tcPr>
                <w:p w14:paraId="71B7532A">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248" w:type="pct"/>
                  <w:vMerge w:val="continue"/>
                  <w:vAlign w:val="center"/>
                </w:tcPr>
                <w:p w14:paraId="4614EE4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99" w:type="pct"/>
                  <w:vAlign w:val="center"/>
                </w:tcPr>
                <w:p w14:paraId="36A51FAB">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582" w:type="pct"/>
                  <w:vAlign w:val="center"/>
                </w:tcPr>
                <w:p w14:paraId="4E5A281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千克/吨-原料</w:t>
                  </w:r>
                </w:p>
              </w:tc>
              <w:tc>
                <w:tcPr>
                  <w:tcW w:w="498" w:type="pct"/>
                  <w:vAlign w:val="center"/>
                </w:tcPr>
                <w:p w14:paraId="4841B43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2.19</w:t>
                  </w:r>
                </w:p>
              </w:tc>
              <w:tc>
                <w:tcPr>
                  <w:tcW w:w="414" w:type="pct"/>
                  <w:vAlign w:val="center"/>
                </w:tcPr>
                <w:p w14:paraId="1D978A0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袋式除尘</w:t>
                  </w:r>
                </w:p>
              </w:tc>
              <w:tc>
                <w:tcPr>
                  <w:tcW w:w="526" w:type="pct"/>
                  <w:vAlign w:val="center"/>
                </w:tcPr>
                <w:p w14:paraId="6E4956D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bl>
          <w:p w14:paraId="697C725C">
            <w:pPr>
              <w:pStyle w:val="17"/>
              <w:spacing w:before="0" w:after="0" w:line="360" w:lineRule="auto"/>
              <w:ind w:right="0"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根据上表，本项目预处理件中采用抛丸工序，产污系数为2.19kg/吨-原料，结构件原料用量为1800t/a，设置风机风量为20000m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/h，年工作时间约2400h，抛丸粉尘通过布袋除尘+15m高排气筒（DA002）外排，则抛丸粉尘的产生量约为3.942t/a，产生速率1.64kg/h，产生浓度为8.2mg/m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；抛丸工序进行时设备全封闭，布袋除尘处理效率可达95%，经计算，抛丸粉尘经袋式除尘量为3.74</w:t>
            </w:r>
            <w:r>
              <w:rPr>
                <w:rFonts w:hint="default" w:ascii="Times New Roman" w:hAnsi="Times New Roman" w:eastAsia="TimesNewRomanPSMT" w:cs="Times New Roman"/>
                <w:color w:val="000000" w:themeColor="text1"/>
                <w:sz w:val="24"/>
                <w:highlight w:val="none"/>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；通过排气筒排放量约0.202t/a，排放速率0.084kg/h，排放浓度为4.2mg/m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p>
          <w:p w14:paraId="44EC4D14">
            <w:pPr>
              <w:pStyle w:val="17"/>
              <w:spacing w:before="0" w:after="0" w:line="360" w:lineRule="auto"/>
              <w:ind w:right="0"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④焊接烟尘</w:t>
            </w:r>
          </w:p>
          <w:p w14:paraId="454137D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本项目焊接工序采用实心焊丝，本次评价焊接工序产污根据《排放源统计调查产排污核算方法和系数手册》（生态环境部公告2021年第24号）中：33 金属制品业中的产污系数中09焊接工序中产排污系数，具体见下表。</w:t>
            </w:r>
          </w:p>
          <w:p w14:paraId="6084DF71">
            <w:pPr>
              <w:pStyle w:val="17"/>
              <w:ind w:firstLine="24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eastAsia="黑体" w:cs="Times New Roman"/>
                <w:b/>
                <w:bCs/>
                <w:color w:val="000000" w:themeColor="text1"/>
                <w:szCs w:val="21"/>
                <w:highlight w:val="none"/>
                <w14:textFill>
                  <w14:solidFill>
                    <w14:schemeClr w14:val="tx1"/>
                  </w14:solidFill>
                </w14:textFill>
              </w:rPr>
              <w:t>表4-3  金属制品业行业系数表</w:t>
            </w:r>
          </w:p>
          <w:tbl>
            <w:tblPr>
              <w:tblStyle w:val="34"/>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687"/>
              <w:gridCol w:w="715"/>
              <w:gridCol w:w="806"/>
              <w:gridCol w:w="710"/>
              <w:gridCol w:w="442"/>
              <w:gridCol w:w="871"/>
              <w:gridCol w:w="940"/>
              <w:gridCol w:w="759"/>
              <w:gridCol w:w="957"/>
              <w:gridCol w:w="893"/>
            </w:tblGrid>
            <w:tr w14:paraId="6ABCD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7" w:type="pct"/>
                  <w:vAlign w:val="center"/>
                </w:tcPr>
                <w:p w14:paraId="7520E21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工段名称</w:t>
                  </w:r>
                </w:p>
              </w:tc>
              <w:tc>
                <w:tcPr>
                  <w:tcW w:w="405" w:type="pct"/>
                  <w:vAlign w:val="center"/>
                </w:tcPr>
                <w:p w14:paraId="6EBC45A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产品名称</w:t>
                  </w:r>
                </w:p>
              </w:tc>
              <w:tc>
                <w:tcPr>
                  <w:tcW w:w="422" w:type="pct"/>
                  <w:vAlign w:val="center"/>
                </w:tcPr>
                <w:p w14:paraId="0D97A96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原料名称</w:t>
                  </w:r>
                </w:p>
              </w:tc>
              <w:tc>
                <w:tcPr>
                  <w:tcW w:w="476" w:type="pct"/>
                  <w:vAlign w:val="center"/>
                </w:tcPr>
                <w:p w14:paraId="06513A7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工艺名称</w:t>
                  </w:r>
                </w:p>
              </w:tc>
              <w:tc>
                <w:tcPr>
                  <w:tcW w:w="419" w:type="pct"/>
                  <w:vAlign w:val="center"/>
                </w:tcPr>
                <w:p w14:paraId="1E91B2C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规模等级</w:t>
                  </w:r>
                </w:p>
              </w:tc>
              <w:tc>
                <w:tcPr>
                  <w:tcW w:w="774" w:type="pct"/>
                  <w:gridSpan w:val="2"/>
                  <w:vAlign w:val="center"/>
                </w:tcPr>
                <w:p w14:paraId="63FBA75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污染物指标</w:t>
                  </w:r>
                </w:p>
              </w:tc>
              <w:tc>
                <w:tcPr>
                  <w:tcW w:w="554" w:type="pct"/>
                  <w:vAlign w:val="center"/>
                </w:tcPr>
                <w:p w14:paraId="30467C9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单位</w:t>
                  </w:r>
                </w:p>
              </w:tc>
              <w:tc>
                <w:tcPr>
                  <w:tcW w:w="448" w:type="pct"/>
                  <w:vAlign w:val="center"/>
                </w:tcPr>
                <w:p w14:paraId="3A5C1DD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产污系数</w:t>
                  </w:r>
                </w:p>
              </w:tc>
              <w:tc>
                <w:tcPr>
                  <w:tcW w:w="564" w:type="pct"/>
                  <w:vAlign w:val="center"/>
                </w:tcPr>
                <w:p w14:paraId="05932AC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末端治理技术名称</w:t>
                  </w:r>
                </w:p>
              </w:tc>
              <w:tc>
                <w:tcPr>
                  <w:tcW w:w="526" w:type="pct"/>
                  <w:vAlign w:val="center"/>
                </w:tcPr>
                <w:p w14:paraId="6456D72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末端治理技术效率（%）</w:t>
                  </w:r>
                </w:p>
              </w:tc>
            </w:tr>
            <w:tr w14:paraId="7A56E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407" w:type="pct"/>
                  <w:vMerge w:val="restart"/>
                  <w:vAlign w:val="center"/>
                </w:tcPr>
                <w:p w14:paraId="4A6665A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焊接</w:t>
                  </w:r>
                </w:p>
              </w:tc>
              <w:tc>
                <w:tcPr>
                  <w:tcW w:w="405" w:type="pct"/>
                  <w:vMerge w:val="restart"/>
                  <w:vAlign w:val="center"/>
                </w:tcPr>
                <w:p w14:paraId="159D5DE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焊接件</w:t>
                  </w:r>
                </w:p>
              </w:tc>
              <w:tc>
                <w:tcPr>
                  <w:tcW w:w="422" w:type="pct"/>
                  <w:vMerge w:val="restart"/>
                  <w:vAlign w:val="center"/>
                </w:tcPr>
                <w:p w14:paraId="51B7A631">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实芯焊丝</w:t>
                  </w:r>
                </w:p>
              </w:tc>
              <w:tc>
                <w:tcPr>
                  <w:tcW w:w="476" w:type="pct"/>
                  <w:vMerge w:val="restart"/>
                  <w:vAlign w:val="center"/>
                </w:tcPr>
                <w:p w14:paraId="2A54B5A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二氧化碳保护焊、埋弧焊、氩弧焊</w:t>
                  </w:r>
                </w:p>
              </w:tc>
              <w:tc>
                <w:tcPr>
                  <w:tcW w:w="419" w:type="pct"/>
                  <w:vMerge w:val="restart"/>
                  <w:vAlign w:val="center"/>
                </w:tcPr>
                <w:p w14:paraId="1E97926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所有规模</w:t>
                  </w:r>
                </w:p>
              </w:tc>
              <w:tc>
                <w:tcPr>
                  <w:tcW w:w="261" w:type="pct"/>
                  <w:vMerge w:val="restart"/>
                  <w:vAlign w:val="center"/>
                </w:tcPr>
                <w:p w14:paraId="6040ACC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513" w:type="pct"/>
                  <w:vMerge w:val="restart"/>
                  <w:vAlign w:val="center"/>
                </w:tcPr>
                <w:p w14:paraId="17C0C14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554" w:type="pct"/>
                  <w:vMerge w:val="restart"/>
                  <w:vAlign w:val="center"/>
                </w:tcPr>
                <w:p w14:paraId="6001B04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千克/吨-原料</w:t>
                  </w:r>
                </w:p>
              </w:tc>
              <w:tc>
                <w:tcPr>
                  <w:tcW w:w="448" w:type="pct"/>
                  <w:vMerge w:val="restart"/>
                  <w:vAlign w:val="center"/>
                </w:tcPr>
                <w:p w14:paraId="380DE99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9.19</w:t>
                  </w:r>
                </w:p>
              </w:tc>
              <w:tc>
                <w:tcPr>
                  <w:tcW w:w="564" w:type="pct"/>
                  <w:vAlign w:val="center"/>
                </w:tcPr>
                <w:p w14:paraId="232FF86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其他（移动式烟尘净化器）</w:t>
                  </w:r>
                </w:p>
              </w:tc>
              <w:tc>
                <w:tcPr>
                  <w:tcW w:w="526" w:type="pct"/>
                  <w:vAlign w:val="center"/>
                </w:tcPr>
                <w:p w14:paraId="5FC695DB">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r w14:paraId="3261D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7" w:type="pct"/>
                  <w:vMerge w:val="continue"/>
                  <w:vAlign w:val="center"/>
                </w:tcPr>
                <w:p w14:paraId="4B2F4B1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05" w:type="pct"/>
                  <w:vMerge w:val="continue"/>
                  <w:vAlign w:val="center"/>
                </w:tcPr>
                <w:p w14:paraId="544BFD3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22" w:type="pct"/>
                  <w:vMerge w:val="continue"/>
                  <w:vAlign w:val="center"/>
                </w:tcPr>
                <w:p w14:paraId="2E40565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76" w:type="pct"/>
                  <w:vMerge w:val="continue"/>
                  <w:vAlign w:val="center"/>
                </w:tcPr>
                <w:p w14:paraId="3D9F21F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19" w:type="pct"/>
                  <w:vMerge w:val="continue"/>
                  <w:vAlign w:val="center"/>
                </w:tcPr>
                <w:p w14:paraId="029CF7E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261" w:type="pct"/>
                  <w:vMerge w:val="continue"/>
                  <w:vAlign w:val="center"/>
                </w:tcPr>
                <w:p w14:paraId="2BDE6E2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513" w:type="pct"/>
                  <w:vMerge w:val="continue"/>
                  <w:vAlign w:val="center"/>
                </w:tcPr>
                <w:p w14:paraId="17F457D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554" w:type="pct"/>
                  <w:vMerge w:val="continue"/>
                  <w:vAlign w:val="center"/>
                </w:tcPr>
                <w:p w14:paraId="2DD568E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48" w:type="pct"/>
                  <w:vMerge w:val="continue"/>
                  <w:vAlign w:val="center"/>
                </w:tcPr>
                <w:p w14:paraId="2128A0A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564" w:type="pct"/>
                  <w:vAlign w:val="center"/>
                </w:tcPr>
                <w:p w14:paraId="6BAB89A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袋式除尘</w:t>
                  </w:r>
                </w:p>
              </w:tc>
              <w:tc>
                <w:tcPr>
                  <w:tcW w:w="526" w:type="pct"/>
                  <w:vAlign w:val="center"/>
                </w:tcPr>
                <w:p w14:paraId="490B7C3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bl>
          <w:p w14:paraId="4D09A307">
            <w:pPr>
              <w:autoSpaceDE w:val="0"/>
              <w:autoSpaceDN w:val="0"/>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上表，二氧化碳保护焊及埋弧焊的产污系数均为9.19kg/吨-原料，项目使用实芯焊丝约17.8t/a，则焊接烟尘产生量为0.164t/a，焊接件拟采用移动式烟尘净化器处理后呈无组织排放；由于集气罩为侧吸式与移动式烟尘净化器收集管道类似，因此评价焊接烟尘收集效率均按90%计，年工作时间约2000小时；则项目焊接烟气产排情况见下表。</w:t>
            </w:r>
          </w:p>
          <w:p w14:paraId="6BCA4854">
            <w:pPr>
              <w:pStyle w:val="2"/>
              <w:rPr>
                <w:rFonts w:hint="default" w:ascii="Times New Roman" w:hAnsi="Times New Roman" w:cs="Times New Roman"/>
                <w:color w:val="000000" w:themeColor="text1"/>
                <w:highlight w:val="none"/>
                <w14:textFill>
                  <w14:solidFill>
                    <w14:schemeClr w14:val="tx1"/>
                  </w14:solidFill>
                </w14:textFill>
              </w:rPr>
            </w:pPr>
          </w:p>
        </w:tc>
      </w:tr>
      <w:tr w14:paraId="21839E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79" w:hRule="atLeast"/>
          <w:jc w:val="center"/>
        </w:trPr>
        <w:tc>
          <w:tcPr>
            <w:tcW w:w="411" w:type="dxa"/>
            <w:tcMar>
              <w:left w:w="28" w:type="dxa"/>
              <w:right w:w="28" w:type="dxa"/>
            </w:tcMar>
            <w:vAlign w:val="center"/>
          </w:tcPr>
          <w:p w14:paraId="499D8B8B">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运营</w:t>
            </w:r>
          </w:p>
          <w:p w14:paraId="3BFF3D38">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期环</w:t>
            </w:r>
          </w:p>
          <w:p w14:paraId="49DC727F">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境影</w:t>
            </w:r>
          </w:p>
          <w:p w14:paraId="29215438">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响和</w:t>
            </w:r>
          </w:p>
          <w:p w14:paraId="7EA8B943">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保护</w:t>
            </w:r>
          </w:p>
          <w:p w14:paraId="29D84623">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措施</w:t>
            </w:r>
          </w:p>
        </w:tc>
        <w:tc>
          <w:tcPr>
            <w:tcW w:w="8694" w:type="dxa"/>
            <w:vAlign w:val="center"/>
          </w:tcPr>
          <w:p w14:paraId="3E1812CE">
            <w:pPr>
              <w:pStyle w:val="17"/>
              <w:ind w:firstLine="24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eastAsia="黑体" w:cs="Times New Roman"/>
                <w:b/>
                <w:bCs/>
                <w:color w:val="000000" w:themeColor="text1"/>
                <w:szCs w:val="21"/>
                <w:highlight w:val="none"/>
                <w14:textFill>
                  <w14:solidFill>
                    <w14:schemeClr w14:val="tx1"/>
                  </w14:solidFill>
                </w14:textFill>
              </w:rPr>
              <w:t>表4-4  焊接烟气产排情况一览表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1074"/>
              <w:gridCol w:w="609"/>
              <w:gridCol w:w="872"/>
              <w:gridCol w:w="699"/>
              <w:gridCol w:w="860"/>
              <w:gridCol w:w="1441"/>
              <w:gridCol w:w="713"/>
              <w:gridCol w:w="718"/>
              <w:gridCol w:w="828"/>
            </w:tblGrid>
            <w:tr w14:paraId="4FF79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8" w:type="pct"/>
                  <w:gridSpan w:val="2"/>
                  <w:vMerge w:val="restart"/>
                  <w:vAlign w:val="center"/>
                </w:tcPr>
                <w:p w14:paraId="3C963051">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产生工序</w:t>
                  </w:r>
                </w:p>
              </w:tc>
              <w:tc>
                <w:tcPr>
                  <w:tcW w:w="359" w:type="pct"/>
                  <w:vMerge w:val="restart"/>
                  <w:shd w:val="clear" w:color="auto" w:fill="auto"/>
                  <w:noWrap/>
                  <w:vAlign w:val="center"/>
                </w:tcPr>
                <w:p w14:paraId="68C8783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污染物</w:t>
                  </w:r>
                </w:p>
              </w:tc>
              <w:tc>
                <w:tcPr>
                  <w:tcW w:w="1436" w:type="pct"/>
                  <w:gridSpan w:val="3"/>
                  <w:shd w:val="clear" w:color="auto" w:fill="auto"/>
                  <w:noWrap/>
                  <w:vAlign w:val="center"/>
                </w:tcPr>
                <w:p w14:paraId="6DB8487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产生情况</w:t>
                  </w:r>
                </w:p>
              </w:tc>
              <w:tc>
                <w:tcPr>
                  <w:tcW w:w="851" w:type="pct"/>
                  <w:vMerge w:val="restart"/>
                  <w:shd w:val="clear" w:color="auto" w:fill="auto"/>
                  <w:noWrap/>
                  <w:vAlign w:val="center"/>
                </w:tcPr>
                <w:p w14:paraId="51C1EF4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处理效率</w:t>
                  </w:r>
                </w:p>
                <w:p w14:paraId="18063B9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1334" w:type="pct"/>
                  <w:gridSpan w:val="3"/>
                  <w:shd w:val="clear" w:color="auto" w:fill="auto"/>
                  <w:noWrap/>
                  <w:vAlign w:val="center"/>
                </w:tcPr>
                <w:p w14:paraId="422992F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排放情况</w:t>
                  </w:r>
                </w:p>
              </w:tc>
            </w:tr>
            <w:tr w14:paraId="6B0EF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8" w:type="pct"/>
                  <w:gridSpan w:val="2"/>
                  <w:vMerge w:val="continue"/>
                  <w:vAlign w:val="center"/>
                </w:tcPr>
                <w:p w14:paraId="69A2DAA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359" w:type="pct"/>
                  <w:vMerge w:val="continue"/>
                  <w:shd w:val="clear" w:color="auto" w:fill="auto"/>
                  <w:noWrap/>
                  <w:vAlign w:val="center"/>
                </w:tcPr>
                <w:p w14:paraId="27AA9621">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515" w:type="pct"/>
                  <w:shd w:val="clear" w:color="auto" w:fill="auto"/>
                  <w:noWrap/>
                  <w:vAlign w:val="center"/>
                </w:tcPr>
                <w:p w14:paraId="564E2D94">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产生/收集量t/a</w:t>
                  </w:r>
                </w:p>
              </w:tc>
              <w:tc>
                <w:tcPr>
                  <w:tcW w:w="413" w:type="pct"/>
                  <w:shd w:val="clear" w:color="auto" w:fill="auto"/>
                  <w:noWrap/>
                  <w:vAlign w:val="center"/>
                </w:tcPr>
                <w:p w14:paraId="10376C72">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速率kg/h</w:t>
                  </w:r>
                </w:p>
              </w:tc>
              <w:tc>
                <w:tcPr>
                  <w:tcW w:w="508" w:type="pct"/>
                  <w:shd w:val="clear" w:color="auto" w:fill="auto"/>
                  <w:noWrap/>
                  <w:vAlign w:val="center"/>
                </w:tcPr>
                <w:p w14:paraId="3948178C">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c>
                <w:tcPr>
                  <w:tcW w:w="851" w:type="pct"/>
                  <w:vMerge w:val="continue"/>
                  <w:shd w:val="clear" w:color="auto" w:fill="auto"/>
                  <w:noWrap/>
                  <w:vAlign w:val="center"/>
                </w:tcPr>
                <w:p w14:paraId="1DBC304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1" w:type="pct"/>
                  <w:shd w:val="clear" w:color="auto" w:fill="auto"/>
                  <w:noWrap/>
                  <w:vAlign w:val="center"/>
                </w:tcPr>
                <w:p w14:paraId="5795B6AA">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排放量t/a</w:t>
                  </w:r>
                </w:p>
              </w:tc>
              <w:tc>
                <w:tcPr>
                  <w:tcW w:w="424" w:type="pct"/>
                  <w:shd w:val="clear" w:color="auto" w:fill="auto"/>
                  <w:noWrap/>
                  <w:vAlign w:val="center"/>
                </w:tcPr>
                <w:p w14:paraId="258D768B">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速率kg/h</w:t>
                  </w:r>
                </w:p>
              </w:tc>
              <w:tc>
                <w:tcPr>
                  <w:tcW w:w="489" w:type="pct"/>
                  <w:shd w:val="clear" w:color="auto" w:fill="auto"/>
                  <w:noWrap/>
                  <w:vAlign w:val="center"/>
                </w:tcPr>
                <w:p w14:paraId="3F0983B8">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 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r>
            <w:tr w14:paraId="485BE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384" w:type="pct"/>
                  <w:vMerge w:val="restart"/>
                  <w:vAlign w:val="center"/>
                </w:tcPr>
                <w:p w14:paraId="3977A8F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焊接</w:t>
                  </w:r>
                </w:p>
              </w:tc>
              <w:tc>
                <w:tcPr>
                  <w:tcW w:w="633" w:type="pct"/>
                  <w:shd w:val="clear" w:color="auto" w:fill="auto"/>
                  <w:noWrap/>
                  <w:vAlign w:val="center"/>
                </w:tcPr>
                <w:p w14:paraId="3E9A221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359" w:type="pct"/>
                  <w:shd w:val="clear" w:color="auto" w:fill="auto"/>
                  <w:noWrap/>
                  <w:vAlign w:val="center"/>
                </w:tcPr>
                <w:p w14:paraId="3A1B7B37">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15" w:type="pct"/>
                  <w:shd w:val="clear" w:color="auto" w:fill="auto"/>
                  <w:noWrap/>
                  <w:vAlign w:val="center"/>
                </w:tcPr>
                <w:p w14:paraId="4B52CE2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0.148</w:t>
                  </w:r>
                </w:p>
              </w:tc>
              <w:tc>
                <w:tcPr>
                  <w:tcW w:w="413" w:type="pct"/>
                  <w:shd w:val="clear" w:color="auto" w:fill="auto"/>
                  <w:noWrap/>
                  <w:vAlign w:val="center"/>
                </w:tcPr>
                <w:p w14:paraId="42BBEB4A">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0.074</w:t>
                  </w:r>
                </w:p>
              </w:tc>
              <w:tc>
                <w:tcPr>
                  <w:tcW w:w="508" w:type="pct"/>
                  <w:shd w:val="clear" w:color="auto" w:fill="auto"/>
                  <w:noWrap/>
                  <w:vAlign w:val="center"/>
                </w:tcPr>
                <w:p w14:paraId="3E3E3B0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851" w:type="pct"/>
                  <w:shd w:val="clear" w:color="auto" w:fill="auto"/>
                  <w:noWrap/>
                  <w:vAlign w:val="center"/>
                </w:tcPr>
                <w:p w14:paraId="746BE19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收集90%，移动式烟尘净化器95%</w:t>
                  </w:r>
                </w:p>
              </w:tc>
              <w:tc>
                <w:tcPr>
                  <w:tcW w:w="421" w:type="pct"/>
                  <w:shd w:val="clear" w:color="auto" w:fill="auto"/>
                  <w:noWrap/>
                  <w:vAlign w:val="center"/>
                </w:tcPr>
                <w:p w14:paraId="69B9904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0.007</w:t>
                  </w:r>
                </w:p>
              </w:tc>
              <w:tc>
                <w:tcPr>
                  <w:tcW w:w="424" w:type="pct"/>
                  <w:shd w:val="clear" w:color="auto" w:fill="auto"/>
                  <w:noWrap/>
                  <w:vAlign w:val="center"/>
                </w:tcPr>
                <w:p w14:paraId="0EE1DA5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0.004</w:t>
                  </w:r>
                </w:p>
              </w:tc>
              <w:tc>
                <w:tcPr>
                  <w:tcW w:w="489" w:type="pct"/>
                  <w:shd w:val="clear" w:color="auto" w:fill="auto"/>
                  <w:noWrap/>
                  <w:vAlign w:val="center"/>
                </w:tcPr>
                <w:p w14:paraId="098181C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6F29A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384" w:type="pct"/>
                  <w:vMerge w:val="continue"/>
                  <w:vAlign w:val="center"/>
                </w:tcPr>
                <w:p w14:paraId="08B946E3">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33" w:type="pct"/>
                  <w:shd w:val="clear" w:color="auto" w:fill="auto"/>
                  <w:noWrap/>
                  <w:vAlign w:val="center"/>
                </w:tcPr>
                <w:p w14:paraId="46E1372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359" w:type="pct"/>
                  <w:shd w:val="clear" w:color="auto" w:fill="auto"/>
                  <w:noWrap/>
                  <w:vAlign w:val="center"/>
                </w:tcPr>
                <w:p w14:paraId="490E827A">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15" w:type="pct"/>
                  <w:shd w:val="clear" w:color="auto" w:fill="auto"/>
                  <w:noWrap/>
                  <w:vAlign w:val="center"/>
                </w:tcPr>
                <w:p w14:paraId="4CB066F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0.016</w:t>
                  </w:r>
                </w:p>
              </w:tc>
              <w:tc>
                <w:tcPr>
                  <w:tcW w:w="413" w:type="pct"/>
                  <w:shd w:val="clear" w:color="auto" w:fill="auto"/>
                  <w:noWrap/>
                  <w:vAlign w:val="center"/>
                </w:tcPr>
                <w:p w14:paraId="266A4FF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0.008</w:t>
                  </w:r>
                </w:p>
              </w:tc>
              <w:tc>
                <w:tcPr>
                  <w:tcW w:w="508" w:type="pct"/>
                  <w:shd w:val="clear" w:color="auto" w:fill="auto"/>
                  <w:noWrap/>
                  <w:vAlign w:val="center"/>
                </w:tcPr>
                <w:p w14:paraId="5789BE5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851" w:type="pct"/>
                  <w:shd w:val="clear" w:color="auto" w:fill="auto"/>
                  <w:noWrap/>
                  <w:vAlign w:val="center"/>
                </w:tcPr>
                <w:p w14:paraId="5A572D9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713" w:type="dxa"/>
                  <w:shd w:val="clear" w:color="auto" w:fill="auto"/>
                  <w:noWrap/>
                  <w:vAlign w:val="center"/>
                </w:tcPr>
                <w:p w14:paraId="5D7D304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0.016</w:t>
                  </w:r>
                </w:p>
              </w:tc>
              <w:tc>
                <w:tcPr>
                  <w:tcW w:w="718" w:type="dxa"/>
                  <w:shd w:val="clear" w:color="auto" w:fill="auto"/>
                  <w:noWrap/>
                  <w:vAlign w:val="center"/>
                </w:tcPr>
                <w:p w14:paraId="26B3057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0.008</w:t>
                  </w:r>
                </w:p>
              </w:tc>
              <w:tc>
                <w:tcPr>
                  <w:tcW w:w="489" w:type="pct"/>
                  <w:shd w:val="clear" w:color="auto" w:fill="auto"/>
                  <w:noWrap/>
                  <w:vAlign w:val="center"/>
                </w:tcPr>
                <w:p w14:paraId="3CE66E7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180B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018" w:type="pct"/>
                  <w:gridSpan w:val="2"/>
                  <w:vAlign w:val="center"/>
                </w:tcPr>
                <w:p w14:paraId="2C39951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合计</w:t>
                  </w:r>
                </w:p>
              </w:tc>
              <w:tc>
                <w:tcPr>
                  <w:tcW w:w="359" w:type="pct"/>
                  <w:shd w:val="clear" w:color="auto" w:fill="auto"/>
                  <w:noWrap/>
                  <w:vAlign w:val="center"/>
                </w:tcPr>
                <w:p w14:paraId="3819B13B">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15" w:type="pct"/>
                  <w:shd w:val="clear" w:color="auto" w:fill="auto"/>
                  <w:noWrap/>
                  <w:vAlign w:val="center"/>
                </w:tcPr>
                <w:p w14:paraId="4CB0F36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0.164</w:t>
                  </w:r>
                </w:p>
              </w:tc>
              <w:tc>
                <w:tcPr>
                  <w:tcW w:w="413" w:type="pct"/>
                  <w:shd w:val="clear" w:color="auto" w:fill="auto"/>
                  <w:noWrap/>
                  <w:vAlign w:val="center"/>
                </w:tcPr>
                <w:p w14:paraId="3B76C7D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508" w:type="pct"/>
                  <w:shd w:val="clear" w:color="auto" w:fill="auto"/>
                  <w:noWrap/>
                  <w:vAlign w:val="center"/>
                </w:tcPr>
                <w:p w14:paraId="56DDE5B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851" w:type="pct"/>
                  <w:shd w:val="clear" w:color="auto" w:fill="auto"/>
                  <w:noWrap/>
                  <w:vAlign w:val="center"/>
                </w:tcPr>
                <w:p w14:paraId="19C1759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421" w:type="pct"/>
                  <w:shd w:val="clear" w:color="auto" w:fill="auto"/>
                  <w:noWrap/>
                  <w:vAlign w:val="center"/>
                </w:tcPr>
                <w:p w14:paraId="2DC8135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0.023</w:t>
                  </w:r>
                </w:p>
              </w:tc>
              <w:tc>
                <w:tcPr>
                  <w:tcW w:w="424" w:type="pct"/>
                  <w:shd w:val="clear" w:color="auto" w:fill="auto"/>
                  <w:noWrap/>
                  <w:vAlign w:val="center"/>
                </w:tcPr>
                <w:p w14:paraId="6F9ADE5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489" w:type="pct"/>
                  <w:shd w:val="clear" w:color="auto" w:fill="auto"/>
                  <w:noWrap/>
                  <w:vAlign w:val="center"/>
                </w:tcPr>
                <w:p w14:paraId="2351E6B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bl>
          <w:p w14:paraId="139D95C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④腻子打磨粉尘</w:t>
            </w:r>
          </w:p>
          <w:p w14:paraId="1F873BEC">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本项目少量工件在底漆喷涂完成后需要采用腻子粉点补并打磨，根据《排放源统计调查产排污核算方法和系数手册》（生态环境部公告2021年第24号）中：33 金属制品业中的产污系数中：14涂装，具体见下表。</w:t>
            </w:r>
          </w:p>
          <w:p w14:paraId="22129DA9">
            <w:pPr>
              <w:pStyle w:val="17"/>
              <w:adjustRightInd/>
              <w:spacing w:after="0" w:line="240" w:lineRule="auto"/>
              <w:ind w:firstLine="24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eastAsia="黑体" w:cs="Times New Roman"/>
                <w:b/>
                <w:bCs/>
                <w:color w:val="000000" w:themeColor="text1"/>
                <w:szCs w:val="21"/>
                <w:highlight w:val="none"/>
                <w14:textFill>
                  <w14:solidFill>
                    <w14:schemeClr w14:val="tx1"/>
                  </w14:solidFill>
                </w14:textFill>
              </w:rPr>
              <w:t>表4-5  金属制品业行业系数表</w:t>
            </w:r>
          </w:p>
          <w:tbl>
            <w:tblPr>
              <w:tblStyle w:val="34"/>
              <w:tblW w:w="500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702"/>
              <w:gridCol w:w="716"/>
              <w:gridCol w:w="806"/>
              <w:gridCol w:w="688"/>
              <w:gridCol w:w="462"/>
              <w:gridCol w:w="889"/>
              <w:gridCol w:w="969"/>
              <w:gridCol w:w="781"/>
              <w:gridCol w:w="889"/>
              <w:gridCol w:w="893"/>
            </w:tblGrid>
            <w:tr w14:paraId="6A9C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398" w:type="pct"/>
                  <w:vAlign w:val="center"/>
                </w:tcPr>
                <w:p w14:paraId="3F37167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工段名称</w:t>
                  </w:r>
                </w:p>
              </w:tc>
              <w:tc>
                <w:tcPr>
                  <w:tcW w:w="414" w:type="pct"/>
                  <w:vAlign w:val="center"/>
                </w:tcPr>
                <w:p w14:paraId="3F65A44E">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产品名称</w:t>
                  </w:r>
                </w:p>
              </w:tc>
              <w:tc>
                <w:tcPr>
                  <w:tcW w:w="422" w:type="pct"/>
                  <w:vAlign w:val="center"/>
                </w:tcPr>
                <w:p w14:paraId="395D0C5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原料名称</w:t>
                  </w:r>
                </w:p>
              </w:tc>
              <w:tc>
                <w:tcPr>
                  <w:tcW w:w="476" w:type="pct"/>
                  <w:vAlign w:val="center"/>
                </w:tcPr>
                <w:p w14:paraId="41AF54C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工艺名称</w:t>
                  </w:r>
                </w:p>
              </w:tc>
              <w:tc>
                <w:tcPr>
                  <w:tcW w:w="406" w:type="pct"/>
                  <w:vAlign w:val="center"/>
                </w:tcPr>
                <w:p w14:paraId="7E55053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规模等级</w:t>
                  </w:r>
                </w:p>
              </w:tc>
              <w:tc>
                <w:tcPr>
                  <w:tcW w:w="797" w:type="pct"/>
                  <w:gridSpan w:val="2"/>
                  <w:vAlign w:val="center"/>
                </w:tcPr>
                <w:p w14:paraId="1EB66A3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污染物指标</w:t>
                  </w:r>
                </w:p>
              </w:tc>
              <w:tc>
                <w:tcPr>
                  <w:tcW w:w="571" w:type="pct"/>
                  <w:vAlign w:val="center"/>
                </w:tcPr>
                <w:p w14:paraId="5715D2C4">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单位</w:t>
                  </w:r>
                </w:p>
              </w:tc>
              <w:tc>
                <w:tcPr>
                  <w:tcW w:w="461" w:type="pct"/>
                  <w:vAlign w:val="center"/>
                </w:tcPr>
                <w:p w14:paraId="7B437CA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产污系数</w:t>
                  </w:r>
                </w:p>
              </w:tc>
              <w:tc>
                <w:tcPr>
                  <w:tcW w:w="524" w:type="pct"/>
                  <w:vAlign w:val="center"/>
                </w:tcPr>
                <w:p w14:paraId="6712B9A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末端治理技术名称</w:t>
                  </w:r>
                </w:p>
              </w:tc>
              <w:tc>
                <w:tcPr>
                  <w:tcW w:w="526" w:type="pct"/>
                  <w:vAlign w:val="center"/>
                </w:tcPr>
                <w:p w14:paraId="546966E1">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末端治理技术效率（%）</w:t>
                  </w:r>
                </w:p>
              </w:tc>
            </w:tr>
            <w:tr w14:paraId="3C71F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 w:type="pct"/>
                  <w:vMerge w:val="restart"/>
                  <w:vAlign w:val="center"/>
                </w:tcPr>
                <w:p w14:paraId="15EA9F3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涂装</w:t>
                  </w:r>
                </w:p>
              </w:tc>
              <w:tc>
                <w:tcPr>
                  <w:tcW w:w="414" w:type="pct"/>
                  <w:vMerge w:val="restart"/>
                  <w:vAlign w:val="center"/>
                </w:tcPr>
                <w:p w14:paraId="64EA735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涂装件</w:t>
                  </w:r>
                </w:p>
              </w:tc>
              <w:tc>
                <w:tcPr>
                  <w:tcW w:w="422" w:type="pct"/>
                  <w:vMerge w:val="restart"/>
                  <w:vAlign w:val="center"/>
                </w:tcPr>
                <w:p w14:paraId="1157CE9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腻子类</w:t>
                  </w:r>
                </w:p>
              </w:tc>
              <w:tc>
                <w:tcPr>
                  <w:tcW w:w="476" w:type="pct"/>
                  <w:vMerge w:val="restart"/>
                  <w:vAlign w:val="center"/>
                </w:tcPr>
                <w:p w14:paraId="709C2AC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涂腻 子、腻 子打磨</w:t>
                  </w:r>
                </w:p>
              </w:tc>
              <w:tc>
                <w:tcPr>
                  <w:tcW w:w="406" w:type="pct"/>
                  <w:vMerge w:val="restart"/>
                  <w:vAlign w:val="center"/>
                </w:tcPr>
                <w:p w14:paraId="3220E9A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所有规模</w:t>
                  </w:r>
                </w:p>
              </w:tc>
              <w:tc>
                <w:tcPr>
                  <w:tcW w:w="273" w:type="pct"/>
                  <w:vMerge w:val="restart"/>
                  <w:vAlign w:val="center"/>
                </w:tcPr>
                <w:p w14:paraId="33B1A1A3">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523" w:type="pct"/>
                  <w:vAlign w:val="center"/>
                </w:tcPr>
                <w:p w14:paraId="4092B37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工业废气量</w:t>
                  </w:r>
                </w:p>
              </w:tc>
              <w:tc>
                <w:tcPr>
                  <w:tcW w:w="571" w:type="pct"/>
                  <w:vAlign w:val="center"/>
                </w:tcPr>
                <w:p w14:paraId="56FCDB5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立方米/吨-原料</w:t>
                  </w:r>
                </w:p>
              </w:tc>
              <w:tc>
                <w:tcPr>
                  <w:tcW w:w="461" w:type="pct"/>
                  <w:vAlign w:val="center"/>
                </w:tcPr>
                <w:p w14:paraId="3D77680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1233235</w:t>
                  </w:r>
                </w:p>
              </w:tc>
              <w:tc>
                <w:tcPr>
                  <w:tcW w:w="524" w:type="pct"/>
                  <w:vAlign w:val="center"/>
                </w:tcPr>
                <w:p w14:paraId="28DEC31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526" w:type="pct"/>
                  <w:vAlign w:val="center"/>
                </w:tcPr>
                <w:p w14:paraId="04EE139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14:paraId="40A23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8" w:type="pct"/>
                  <w:vMerge w:val="continue"/>
                  <w:vAlign w:val="center"/>
                </w:tcPr>
                <w:p w14:paraId="7BCFAB7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14" w:type="pct"/>
                  <w:vMerge w:val="continue"/>
                  <w:vAlign w:val="center"/>
                </w:tcPr>
                <w:p w14:paraId="68F24C8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22" w:type="pct"/>
                  <w:vMerge w:val="continue"/>
                  <w:vAlign w:val="center"/>
                </w:tcPr>
                <w:p w14:paraId="326F7FF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76" w:type="pct"/>
                  <w:vMerge w:val="continue"/>
                  <w:vAlign w:val="center"/>
                </w:tcPr>
                <w:p w14:paraId="7A8DBA5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406" w:type="pct"/>
                  <w:vMerge w:val="continue"/>
                  <w:vAlign w:val="center"/>
                </w:tcPr>
                <w:p w14:paraId="2A31921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273" w:type="pct"/>
                  <w:vMerge w:val="continue"/>
                  <w:vAlign w:val="center"/>
                </w:tcPr>
                <w:p w14:paraId="4ABF308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523" w:type="pct"/>
                  <w:vAlign w:val="center"/>
                </w:tcPr>
                <w:p w14:paraId="23B5D4FB">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571" w:type="pct"/>
                  <w:vAlign w:val="center"/>
                </w:tcPr>
                <w:p w14:paraId="11B8798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千克/吨-原料</w:t>
                  </w:r>
                </w:p>
              </w:tc>
              <w:tc>
                <w:tcPr>
                  <w:tcW w:w="461" w:type="pct"/>
                  <w:vAlign w:val="center"/>
                </w:tcPr>
                <w:p w14:paraId="6D1AE97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166</w:t>
                  </w:r>
                </w:p>
              </w:tc>
              <w:tc>
                <w:tcPr>
                  <w:tcW w:w="894" w:type="dxa"/>
                  <w:vAlign w:val="center"/>
                </w:tcPr>
                <w:p w14:paraId="3C7A4CC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袋式除尘</w:t>
                  </w:r>
                </w:p>
              </w:tc>
              <w:tc>
                <w:tcPr>
                  <w:tcW w:w="898" w:type="dxa"/>
                  <w:vAlign w:val="center"/>
                </w:tcPr>
                <w:p w14:paraId="3AE00EB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bl>
          <w:p w14:paraId="29DB7153">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少量工件需要采用腻子粉点补区域主要为焊接区，由于工件点补区域较小，无需烘烤，直接晾干后进行了打磨即可，腻子粉的年使用量约为0.5t/a，年打磨时间约为500h/a，项目打磨区设置封闭区域，采用下排风式的通风循环系统，下排风系统将废气抽至</w:t>
            </w:r>
            <w:r>
              <w:rPr>
                <w:rFonts w:hint="default" w:ascii="Times New Roman" w:hAnsi="Times New Roman" w:cs="Times New Roman"/>
                <w:color w:val="000000" w:themeColor="text1"/>
                <w:sz w:val="24"/>
                <w:highlight w:val="none"/>
                <w14:textFill>
                  <w14:solidFill>
                    <w14:schemeClr w14:val="tx1"/>
                  </w14:solidFill>
                </w14:textFill>
              </w:rPr>
              <w:t>布袋除尘处理后</w:t>
            </w:r>
            <w:r>
              <w:rPr>
                <w:rFonts w:hint="default" w:ascii="Times New Roman" w:hAnsi="Times New Roman" w:cs="Times New Roman"/>
                <w:color w:val="000000" w:themeColor="text1"/>
                <w:sz w:val="24"/>
                <w:highlight w:val="none"/>
                <w14:textFill>
                  <w14:solidFill>
                    <w14:schemeClr w14:val="tx1"/>
                  </w14:solidFill>
                </w14:textFill>
              </w:rPr>
              <w:t>无组织</w:t>
            </w:r>
            <w:r>
              <w:rPr>
                <w:rFonts w:hint="default" w:ascii="Times New Roman" w:hAnsi="Times New Roman" w:cs="Times New Roman"/>
                <w:color w:val="000000" w:themeColor="text1"/>
                <w:sz w:val="24"/>
                <w:highlight w:val="none"/>
                <w14:textFill>
                  <w14:solidFill>
                    <w14:schemeClr w14:val="tx1"/>
                  </w14:solidFill>
                </w14:textFill>
              </w:rPr>
              <w:t>外排，收集效率按95%计算，布袋除尘处理效率可达95%。</w:t>
            </w:r>
          </w:p>
          <w:p w14:paraId="629738F1">
            <w:pPr>
              <w:pStyle w:val="17"/>
              <w:spacing w:before="0" w:after="0" w:line="360" w:lineRule="auto"/>
              <w:ind w:right="0"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综上所述，本项目预处理工序粉尘产排放情况见下表。</w:t>
            </w:r>
          </w:p>
          <w:p w14:paraId="5E7073CE">
            <w:pPr>
              <w:pStyle w:val="17"/>
              <w:spacing w:after="0"/>
              <w:ind w:firstLine="240"/>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eastAsia="黑体" w:cs="Times New Roman"/>
                <w:b/>
                <w:bCs/>
                <w:color w:val="000000" w:themeColor="text1"/>
                <w:szCs w:val="21"/>
                <w:highlight w:val="none"/>
                <w14:textFill>
                  <w14:solidFill>
                    <w14:schemeClr w14:val="tx1"/>
                  </w14:solidFill>
                </w14:textFill>
              </w:rPr>
              <w:t>表4-6 项目预处理工序粉（烟）尘产排放情况一览表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880"/>
              <w:gridCol w:w="688"/>
              <w:gridCol w:w="939"/>
              <w:gridCol w:w="699"/>
              <w:gridCol w:w="867"/>
              <w:gridCol w:w="1353"/>
              <w:gridCol w:w="797"/>
              <w:gridCol w:w="736"/>
              <w:gridCol w:w="809"/>
            </w:tblGrid>
            <w:tr w14:paraId="7E073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30" w:type="pct"/>
                  <w:gridSpan w:val="2"/>
                  <w:vMerge w:val="restart"/>
                  <w:vAlign w:val="center"/>
                </w:tcPr>
                <w:p w14:paraId="1B17822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产生工序</w:t>
                  </w:r>
                </w:p>
              </w:tc>
              <w:tc>
                <w:tcPr>
                  <w:tcW w:w="406" w:type="pct"/>
                  <w:vMerge w:val="restart"/>
                  <w:shd w:val="clear" w:color="auto" w:fill="auto"/>
                  <w:noWrap/>
                  <w:vAlign w:val="center"/>
                </w:tcPr>
                <w:p w14:paraId="6FE8BD4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污染物</w:t>
                  </w:r>
                </w:p>
              </w:tc>
              <w:tc>
                <w:tcPr>
                  <w:tcW w:w="1479" w:type="pct"/>
                  <w:gridSpan w:val="3"/>
                  <w:shd w:val="clear" w:color="auto" w:fill="auto"/>
                  <w:noWrap/>
                  <w:vAlign w:val="center"/>
                </w:tcPr>
                <w:p w14:paraId="4EB12B1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产生情况</w:t>
                  </w:r>
                </w:p>
              </w:tc>
              <w:tc>
                <w:tcPr>
                  <w:tcW w:w="799" w:type="pct"/>
                  <w:vMerge w:val="restart"/>
                  <w:shd w:val="clear" w:color="auto" w:fill="auto"/>
                  <w:noWrap/>
                  <w:vAlign w:val="center"/>
                </w:tcPr>
                <w:p w14:paraId="7DCF38D1">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处理效率</w:t>
                  </w:r>
                </w:p>
                <w:p w14:paraId="11C3A8D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1384" w:type="pct"/>
                  <w:gridSpan w:val="3"/>
                  <w:shd w:val="clear" w:color="auto" w:fill="auto"/>
                  <w:noWrap/>
                  <w:vAlign w:val="center"/>
                </w:tcPr>
                <w:p w14:paraId="1A31A80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排放情况</w:t>
                  </w:r>
                </w:p>
              </w:tc>
            </w:tr>
            <w:tr w14:paraId="0526D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30" w:type="pct"/>
                  <w:gridSpan w:val="2"/>
                  <w:vMerge w:val="continue"/>
                  <w:vAlign w:val="center"/>
                </w:tcPr>
                <w:p w14:paraId="7597D69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06" w:type="pct"/>
                  <w:vMerge w:val="continue"/>
                  <w:shd w:val="clear" w:color="auto" w:fill="auto"/>
                  <w:noWrap/>
                  <w:vAlign w:val="center"/>
                </w:tcPr>
                <w:p w14:paraId="5D0FCDD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554" w:type="pct"/>
                  <w:shd w:val="clear" w:color="auto" w:fill="auto"/>
                  <w:noWrap/>
                  <w:vAlign w:val="center"/>
                </w:tcPr>
                <w:p w14:paraId="4258CED4">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产生/收集量t/a</w:t>
                  </w:r>
                </w:p>
              </w:tc>
              <w:tc>
                <w:tcPr>
                  <w:tcW w:w="413" w:type="pct"/>
                  <w:shd w:val="clear" w:color="auto" w:fill="auto"/>
                  <w:noWrap/>
                  <w:vAlign w:val="center"/>
                </w:tcPr>
                <w:p w14:paraId="6403826A">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速率kg/h</w:t>
                  </w:r>
                </w:p>
              </w:tc>
              <w:tc>
                <w:tcPr>
                  <w:tcW w:w="510" w:type="pct"/>
                  <w:shd w:val="clear" w:color="auto" w:fill="auto"/>
                  <w:noWrap/>
                  <w:vAlign w:val="center"/>
                </w:tcPr>
                <w:p w14:paraId="75AF0FD2">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c>
                <w:tcPr>
                  <w:tcW w:w="799" w:type="pct"/>
                  <w:vMerge w:val="continue"/>
                  <w:shd w:val="clear" w:color="auto" w:fill="auto"/>
                  <w:noWrap/>
                  <w:vAlign w:val="center"/>
                </w:tcPr>
                <w:p w14:paraId="57FEDA0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71" w:type="pct"/>
                  <w:shd w:val="clear" w:color="auto" w:fill="auto"/>
                  <w:noWrap/>
                  <w:vAlign w:val="center"/>
                </w:tcPr>
                <w:p w14:paraId="66FF50BA">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排放量t/a</w:t>
                  </w:r>
                </w:p>
              </w:tc>
              <w:tc>
                <w:tcPr>
                  <w:tcW w:w="435" w:type="pct"/>
                  <w:shd w:val="clear" w:color="auto" w:fill="auto"/>
                  <w:noWrap/>
                  <w:vAlign w:val="center"/>
                </w:tcPr>
                <w:p w14:paraId="6BC8D805">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速率kg/h</w:t>
                  </w:r>
                </w:p>
              </w:tc>
              <w:tc>
                <w:tcPr>
                  <w:tcW w:w="477" w:type="pct"/>
                  <w:shd w:val="clear" w:color="auto" w:fill="auto"/>
                  <w:noWrap/>
                  <w:vAlign w:val="center"/>
                </w:tcPr>
                <w:p w14:paraId="1314199A">
                  <w:pPr>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 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r>
            <w:tr w14:paraId="78D06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Align w:val="center"/>
                </w:tcPr>
                <w:p w14:paraId="3F222A1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激光切割下料工序</w:t>
                  </w:r>
                </w:p>
              </w:tc>
              <w:tc>
                <w:tcPr>
                  <w:tcW w:w="519" w:type="pct"/>
                  <w:shd w:val="clear" w:color="auto" w:fill="auto"/>
                  <w:noWrap/>
                  <w:vAlign w:val="center"/>
                </w:tcPr>
                <w:p w14:paraId="1CB4734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406" w:type="pct"/>
                  <w:shd w:val="clear" w:color="auto" w:fill="auto"/>
                  <w:noWrap/>
                  <w:vAlign w:val="center"/>
                </w:tcPr>
                <w:p w14:paraId="51B6CE2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6D1038F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0.16</w:t>
                  </w:r>
                </w:p>
              </w:tc>
              <w:tc>
                <w:tcPr>
                  <w:tcW w:w="413" w:type="pct"/>
                  <w:shd w:val="clear" w:color="auto" w:fill="auto"/>
                  <w:noWrap/>
                  <w:vAlign w:val="center"/>
                </w:tcPr>
                <w:p w14:paraId="226714E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0.13</w:t>
                  </w:r>
                </w:p>
              </w:tc>
              <w:tc>
                <w:tcPr>
                  <w:tcW w:w="510" w:type="pct"/>
                  <w:shd w:val="clear" w:color="auto" w:fill="auto"/>
                  <w:noWrap/>
                  <w:vAlign w:val="center"/>
                </w:tcPr>
                <w:p w14:paraId="679AD23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799" w:type="pct"/>
                  <w:shd w:val="clear" w:color="auto" w:fill="auto"/>
                  <w:noWrap/>
                  <w:vAlign w:val="center"/>
                </w:tcPr>
                <w:p w14:paraId="397E729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大颗粒沉降90%，车间阻隔60%</w:t>
                  </w:r>
                </w:p>
              </w:tc>
              <w:tc>
                <w:tcPr>
                  <w:tcW w:w="471" w:type="pct"/>
                  <w:shd w:val="clear" w:color="auto" w:fill="auto"/>
                  <w:noWrap/>
                  <w:vAlign w:val="center"/>
                </w:tcPr>
                <w:p w14:paraId="42FE43E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0.01</w:t>
                  </w:r>
                </w:p>
              </w:tc>
              <w:tc>
                <w:tcPr>
                  <w:tcW w:w="435" w:type="pct"/>
                  <w:shd w:val="clear" w:color="auto" w:fill="auto"/>
                  <w:noWrap/>
                  <w:vAlign w:val="center"/>
                </w:tcPr>
                <w:p w14:paraId="2F7FA7D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0.008</w:t>
                  </w:r>
                </w:p>
              </w:tc>
              <w:tc>
                <w:tcPr>
                  <w:tcW w:w="477" w:type="pct"/>
                  <w:shd w:val="clear" w:color="auto" w:fill="auto"/>
                  <w:noWrap/>
                  <w:vAlign w:val="center"/>
                </w:tcPr>
                <w:p w14:paraId="4F57DD4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32DEC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vAlign w:val="center"/>
                </w:tcPr>
                <w:p w14:paraId="6F633C27">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等离子切割下料粉尘</w:t>
                  </w:r>
                </w:p>
              </w:tc>
              <w:tc>
                <w:tcPr>
                  <w:tcW w:w="519" w:type="pct"/>
                  <w:shd w:val="clear" w:color="auto" w:fill="auto"/>
                  <w:noWrap/>
                  <w:vAlign w:val="center"/>
                </w:tcPr>
                <w:p w14:paraId="4D0788A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有组织</w:t>
                  </w:r>
                </w:p>
                <w:p w14:paraId="3512121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DA001</w:t>
                  </w:r>
                </w:p>
              </w:tc>
              <w:tc>
                <w:tcPr>
                  <w:tcW w:w="406" w:type="pct"/>
                  <w:shd w:val="clear" w:color="auto" w:fill="auto"/>
                  <w:noWrap/>
                  <w:vAlign w:val="center"/>
                </w:tcPr>
                <w:p w14:paraId="114D92C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6805285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1.782</w:t>
                  </w:r>
                </w:p>
              </w:tc>
              <w:tc>
                <w:tcPr>
                  <w:tcW w:w="413" w:type="pct"/>
                  <w:shd w:val="clear" w:color="auto" w:fill="auto"/>
                  <w:noWrap/>
                  <w:vAlign w:val="center"/>
                </w:tcPr>
                <w:p w14:paraId="28E8C2E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0.891</w:t>
                  </w:r>
                </w:p>
              </w:tc>
              <w:tc>
                <w:tcPr>
                  <w:tcW w:w="510" w:type="pct"/>
                  <w:shd w:val="clear" w:color="auto" w:fill="auto"/>
                  <w:noWrap/>
                  <w:vAlign w:val="center"/>
                </w:tcPr>
                <w:p w14:paraId="048B08F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44.55</w:t>
                  </w:r>
                </w:p>
              </w:tc>
              <w:tc>
                <w:tcPr>
                  <w:tcW w:w="799" w:type="pct"/>
                  <w:vMerge w:val="restart"/>
                  <w:shd w:val="clear" w:color="auto" w:fill="auto"/>
                  <w:noWrap/>
                  <w:vAlign w:val="center"/>
                </w:tcPr>
                <w:p w14:paraId="64E2CF47">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集气罩+布袋除尘+</w:t>
                  </w: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15m高排气筒（</w:t>
                  </w:r>
                  <w:r>
                    <w:rPr>
                      <w:rFonts w:hint="default" w:ascii="Times New Roman" w:hAnsi="Times New Roman" w:cs="Times New Roman" w:eastAsiaTheme="minorEastAsia"/>
                      <w:color w:val="000000" w:themeColor="text1"/>
                      <w:szCs w:val="21"/>
                      <w:highlight w:val="none"/>
                      <w14:textFill>
                        <w14:solidFill>
                          <w14:schemeClr w14:val="tx1"/>
                        </w14:solidFill>
                      </w14:textFill>
                    </w:rPr>
                    <w:t>DA001）</w:t>
                  </w:r>
                </w:p>
              </w:tc>
              <w:tc>
                <w:tcPr>
                  <w:tcW w:w="471" w:type="pct"/>
                  <w:shd w:val="clear" w:color="auto" w:fill="auto"/>
                  <w:noWrap/>
                  <w:vAlign w:val="center"/>
                </w:tcPr>
                <w:p w14:paraId="6C36CCC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0.089</w:t>
                  </w:r>
                </w:p>
              </w:tc>
              <w:tc>
                <w:tcPr>
                  <w:tcW w:w="435" w:type="pct"/>
                  <w:shd w:val="clear" w:color="auto" w:fill="auto"/>
                  <w:noWrap/>
                  <w:vAlign w:val="center"/>
                </w:tcPr>
                <w:p w14:paraId="0D5BD7E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0.037</w:t>
                  </w:r>
                </w:p>
              </w:tc>
              <w:tc>
                <w:tcPr>
                  <w:tcW w:w="477" w:type="pct"/>
                  <w:shd w:val="clear" w:color="auto" w:fill="auto"/>
                  <w:noWrap/>
                  <w:vAlign w:val="center"/>
                </w:tcPr>
                <w:p w14:paraId="17765D1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1.85</w:t>
                  </w:r>
                </w:p>
              </w:tc>
            </w:tr>
            <w:tr w14:paraId="11B1E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vAlign w:val="center"/>
                </w:tcPr>
                <w:p w14:paraId="2814D77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519" w:type="pct"/>
                  <w:shd w:val="clear" w:color="auto" w:fill="auto"/>
                  <w:noWrap/>
                  <w:vAlign w:val="center"/>
                </w:tcPr>
                <w:p w14:paraId="429B583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406" w:type="pct"/>
                  <w:shd w:val="clear" w:color="auto" w:fill="auto"/>
                  <w:noWrap/>
                  <w:vAlign w:val="center"/>
                </w:tcPr>
                <w:p w14:paraId="5C93D0E1">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2DC1299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0.198</w:t>
                  </w:r>
                </w:p>
              </w:tc>
              <w:tc>
                <w:tcPr>
                  <w:tcW w:w="413" w:type="pct"/>
                  <w:shd w:val="clear" w:color="auto" w:fill="auto"/>
                  <w:noWrap/>
                  <w:vAlign w:val="center"/>
                </w:tcPr>
                <w:p w14:paraId="66658E9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0.083</w:t>
                  </w:r>
                </w:p>
              </w:tc>
              <w:tc>
                <w:tcPr>
                  <w:tcW w:w="510" w:type="pct"/>
                  <w:shd w:val="clear" w:color="auto" w:fill="auto"/>
                  <w:noWrap/>
                  <w:vAlign w:val="center"/>
                </w:tcPr>
                <w:p w14:paraId="611C706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799" w:type="pct"/>
                  <w:vMerge w:val="continue"/>
                  <w:shd w:val="clear" w:color="auto" w:fill="auto"/>
                  <w:noWrap/>
                  <w:vAlign w:val="center"/>
                </w:tcPr>
                <w:p w14:paraId="1B10093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p>
              </w:tc>
              <w:tc>
                <w:tcPr>
                  <w:tcW w:w="471" w:type="pct"/>
                  <w:shd w:val="clear" w:color="auto" w:fill="auto"/>
                  <w:noWrap/>
                  <w:vAlign w:val="center"/>
                </w:tcPr>
                <w:p w14:paraId="513D490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0.198</w:t>
                  </w:r>
                </w:p>
              </w:tc>
              <w:tc>
                <w:tcPr>
                  <w:tcW w:w="435" w:type="pct"/>
                  <w:shd w:val="clear" w:color="auto" w:fill="auto"/>
                  <w:noWrap/>
                  <w:vAlign w:val="center"/>
                </w:tcPr>
                <w:p w14:paraId="3726B20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0.083</w:t>
                  </w:r>
                </w:p>
              </w:tc>
              <w:tc>
                <w:tcPr>
                  <w:tcW w:w="477" w:type="pct"/>
                  <w:shd w:val="clear" w:color="auto" w:fill="auto"/>
                  <w:noWrap/>
                  <w:vAlign w:val="center"/>
                </w:tcPr>
                <w:p w14:paraId="6287E03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22395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Align w:val="center"/>
                </w:tcPr>
                <w:p w14:paraId="701DCED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抛丸</w:t>
                  </w:r>
                  <w:r>
                    <w:rPr>
                      <w:rFonts w:hint="default" w:ascii="Times New Roman" w:hAnsi="Times New Roman" w:cs="Times New Roman" w:eastAsiaTheme="minorEastAsia"/>
                      <w:color w:val="000000" w:themeColor="text1"/>
                      <w:szCs w:val="21"/>
                      <w:highlight w:val="none"/>
                      <w14:textFill>
                        <w14:solidFill>
                          <w14:schemeClr w14:val="tx1"/>
                        </w14:solidFill>
                      </w14:textFill>
                    </w:rPr>
                    <w:t>工序</w:t>
                  </w:r>
                </w:p>
              </w:tc>
              <w:tc>
                <w:tcPr>
                  <w:tcW w:w="519" w:type="pct"/>
                  <w:shd w:val="clear" w:color="auto" w:fill="auto"/>
                  <w:noWrap/>
                  <w:vAlign w:val="center"/>
                </w:tcPr>
                <w:p w14:paraId="429610C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有组织</w:t>
                  </w:r>
                </w:p>
                <w:p w14:paraId="120FC04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DA001</w:t>
                  </w:r>
                </w:p>
              </w:tc>
              <w:tc>
                <w:tcPr>
                  <w:tcW w:w="406" w:type="pct"/>
                  <w:shd w:val="clear" w:color="auto" w:fill="auto"/>
                  <w:noWrap/>
                  <w:vAlign w:val="center"/>
                </w:tcPr>
                <w:p w14:paraId="01500690">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76188093">
                  <w:pPr>
                    <w:pStyle w:val="58"/>
                    <w:autoSpaceDE w:val="0"/>
                    <w:autoSpaceDN w:val="0"/>
                    <w:spacing w:before="24" w:after="24" w:line="240" w:lineRule="auto"/>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3.942</w:t>
                  </w:r>
                </w:p>
              </w:tc>
              <w:tc>
                <w:tcPr>
                  <w:tcW w:w="413" w:type="pct"/>
                  <w:shd w:val="clear" w:color="auto" w:fill="auto"/>
                  <w:noWrap/>
                  <w:vAlign w:val="center"/>
                </w:tcPr>
                <w:p w14:paraId="2509856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1.64</w:t>
                  </w:r>
                </w:p>
              </w:tc>
              <w:tc>
                <w:tcPr>
                  <w:tcW w:w="510" w:type="pct"/>
                  <w:shd w:val="clear" w:color="auto" w:fill="auto"/>
                  <w:noWrap/>
                  <w:vAlign w:val="center"/>
                </w:tcPr>
                <w:p w14:paraId="7950C64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8.2</w:t>
                  </w:r>
                </w:p>
              </w:tc>
              <w:tc>
                <w:tcPr>
                  <w:tcW w:w="799" w:type="pct"/>
                  <w:shd w:val="clear" w:color="auto" w:fill="auto"/>
                  <w:noWrap/>
                  <w:vAlign w:val="center"/>
                </w:tcPr>
                <w:p w14:paraId="2AD321D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布袋除尘</w:t>
                  </w: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+15m高排气筒（</w:t>
                  </w:r>
                  <w:r>
                    <w:rPr>
                      <w:rFonts w:hint="default" w:ascii="Times New Roman" w:hAnsi="Times New Roman" w:cs="Times New Roman" w:eastAsiaTheme="minorEastAsia"/>
                      <w:color w:val="000000" w:themeColor="text1"/>
                      <w:szCs w:val="21"/>
                      <w:highlight w:val="none"/>
                      <w14:textFill>
                        <w14:solidFill>
                          <w14:schemeClr w14:val="tx1"/>
                        </w14:solidFill>
                      </w14:textFill>
                    </w:rPr>
                    <w:t>DA002</w:t>
                  </w: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471" w:type="pct"/>
                  <w:shd w:val="clear" w:color="auto" w:fill="auto"/>
                  <w:noWrap/>
                  <w:vAlign w:val="center"/>
                </w:tcPr>
                <w:p w14:paraId="00C5971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0.202</w:t>
                  </w:r>
                </w:p>
              </w:tc>
              <w:tc>
                <w:tcPr>
                  <w:tcW w:w="435" w:type="pct"/>
                  <w:shd w:val="clear" w:color="auto" w:fill="auto"/>
                  <w:noWrap/>
                  <w:vAlign w:val="center"/>
                </w:tcPr>
                <w:p w14:paraId="3740FA8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0.084</w:t>
                  </w:r>
                </w:p>
              </w:tc>
              <w:tc>
                <w:tcPr>
                  <w:tcW w:w="477" w:type="pct"/>
                  <w:shd w:val="clear" w:color="auto" w:fill="auto"/>
                  <w:noWrap/>
                  <w:vAlign w:val="center"/>
                </w:tcPr>
                <w:p w14:paraId="52D721D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4.2</w:t>
                  </w:r>
                </w:p>
              </w:tc>
            </w:tr>
            <w:tr w14:paraId="30294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Align w:val="center"/>
                </w:tcPr>
                <w:p w14:paraId="0DBF9E17">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焊接</w:t>
                  </w:r>
                </w:p>
              </w:tc>
              <w:tc>
                <w:tcPr>
                  <w:tcW w:w="519" w:type="pct"/>
                  <w:shd w:val="clear" w:color="auto" w:fill="auto"/>
                  <w:noWrap/>
                  <w:vAlign w:val="center"/>
                </w:tcPr>
                <w:p w14:paraId="0B20A20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406" w:type="pct"/>
                  <w:shd w:val="clear" w:color="auto" w:fill="auto"/>
                  <w:noWrap/>
                  <w:vAlign w:val="center"/>
                </w:tcPr>
                <w:p w14:paraId="7DF415C4">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17F407C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0.164</w:t>
                  </w:r>
                </w:p>
              </w:tc>
              <w:tc>
                <w:tcPr>
                  <w:tcW w:w="413" w:type="pct"/>
                  <w:shd w:val="clear" w:color="auto" w:fill="auto"/>
                  <w:noWrap/>
                  <w:vAlign w:val="center"/>
                </w:tcPr>
                <w:p w14:paraId="07DA1AD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510" w:type="pct"/>
                  <w:shd w:val="clear" w:color="auto" w:fill="auto"/>
                  <w:noWrap/>
                  <w:vAlign w:val="center"/>
                </w:tcPr>
                <w:p w14:paraId="55450FAF">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799" w:type="pct"/>
                  <w:shd w:val="clear" w:color="auto" w:fill="auto"/>
                  <w:noWrap/>
                  <w:vAlign w:val="center"/>
                </w:tcPr>
                <w:p w14:paraId="55779B64">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收集90%，移动式烟尘净化器95%</w:t>
                  </w:r>
                </w:p>
              </w:tc>
              <w:tc>
                <w:tcPr>
                  <w:tcW w:w="471" w:type="pct"/>
                  <w:shd w:val="clear" w:color="auto" w:fill="auto"/>
                  <w:noWrap/>
                  <w:vAlign w:val="center"/>
                </w:tcPr>
                <w:p w14:paraId="68913DF7">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0.023</w:t>
                  </w:r>
                </w:p>
              </w:tc>
              <w:tc>
                <w:tcPr>
                  <w:tcW w:w="435" w:type="pct"/>
                  <w:shd w:val="clear" w:color="auto" w:fill="auto"/>
                  <w:noWrap/>
                  <w:vAlign w:val="center"/>
                </w:tcPr>
                <w:p w14:paraId="2703297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477" w:type="pct"/>
                  <w:shd w:val="clear" w:color="auto" w:fill="auto"/>
                  <w:noWrap/>
                  <w:vAlign w:val="center"/>
                </w:tcPr>
                <w:p w14:paraId="3F5B647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0B44D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restart"/>
                  <w:vAlign w:val="center"/>
                </w:tcPr>
                <w:p w14:paraId="399E6AF1">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腻子打磨</w:t>
                  </w:r>
                  <w:r>
                    <w:rPr>
                      <w:rFonts w:hint="default" w:ascii="Times New Roman" w:hAnsi="Times New Roman" w:cs="Times New Roman" w:eastAsiaTheme="minorEastAsia"/>
                      <w:color w:val="000000" w:themeColor="text1"/>
                      <w:szCs w:val="21"/>
                      <w:highlight w:val="none"/>
                      <w14:textFill>
                        <w14:solidFill>
                          <w14:schemeClr w14:val="tx1"/>
                        </w14:solidFill>
                      </w14:textFill>
                    </w:rPr>
                    <w:t>工序</w:t>
                  </w:r>
                </w:p>
              </w:tc>
              <w:tc>
                <w:tcPr>
                  <w:tcW w:w="519" w:type="pct"/>
                  <w:shd w:val="clear" w:color="auto" w:fill="auto"/>
                  <w:noWrap/>
                  <w:vAlign w:val="center"/>
                </w:tcPr>
                <w:p w14:paraId="0D7973D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406" w:type="pct"/>
                  <w:shd w:val="clear" w:color="auto" w:fill="auto"/>
                  <w:noWrap/>
                  <w:vAlign w:val="center"/>
                </w:tcPr>
                <w:p w14:paraId="075E0C93">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3E15147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0.475</w:t>
                  </w:r>
                </w:p>
              </w:tc>
              <w:tc>
                <w:tcPr>
                  <w:tcW w:w="413" w:type="pct"/>
                  <w:shd w:val="clear" w:color="auto" w:fill="auto"/>
                  <w:noWrap/>
                  <w:vAlign w:val="center"/>
                </w:tcPr>
                <w:p w14:paraId="49BF8B8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0.95</w:t>
                  </w:r>
                </w:p>
              </w:tc>
              <w:tc>
                <w:tcPr>
                  <w:tcW w:w="510" w:type="pct"/>
                  <w:shd w:val="clear" w:color="auto" w:fill="auto"/>
                  <w:noWrap/>
                  <w:vAlign w:val="center"/>
                </w:tcPr>
                <w:p w14:paraId="5459640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799" w:type="pct"/>
                  <w:shd w:val="clear" w:color="auto" w:fill="auto"/>
                  <w:noWrap/>
                  <w:vAlign w:val="center"/>
                </w:tcPr>
                <w:p w14:paraId="045F6F8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布袋除尘</w:t>
                  </w:r>
                </w:p>
              </w:tc>
              <w:tc>
                <w:tcPr>
                  <w:tcW w:w="471" w:type="pct"/>
                  <w:shd w:val="clear" w:color="auto" w:fill="auto"/>
                  <w:noWrap/>
                  <w:vAlign w:val="center"/>
                </w:tcPr>
                <w:p w14:paraId="5C45979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0.024</w:t>
                  </w:r>
                </w:p>
              </w:tc>
              <w:tc>
                <w:tcPr>
                  <w:tcW w:w="435" w:type="pct"/>
                  <w:shd w:val="clear" w:color="auto" w:fill="auto"/>
                  <w:noWrap/>
                  <w:vAlign w:val="center"/>
                </w:tcPr>
                <w:p w14:paraId="74D5024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0.048</w:t>
                  </w:r>
                </w:p>
              </w:tc>
              <w:tc>
                <w:tcPr>
                  <w:tcW w:w="477" w:type="pct"/>
                  <w:shd w:val="clear" w:color="auto" w:fill="auto"/>
                  <w:noWrap/>
                  <w:vAlign w:val="center"/>
                </w:tcPr>
                <w:p w14:paraId="2AC60F47">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r w14:paraId="7533D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1" w:type="pct"/>
                  <w:vMerge w:val="continue"/>
                  <w:vAlign w:val="center"/>
                </w:tcPr>
                <w:p w14:paraId="6C3B2644">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519" w:type="pct"/>
                  <w:shd w:val="clear" w:color="auto" w:fill="auto"/>
                  <w:noWrap/>
                  <w:vAlign w:val="center"/>
                </w:tcPr>
                <w:p w14:paraId="3437F338">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无组织</w:t>
                  </w:r>
                </w:p>
              </w:tc>
              <w:tc>
                <w:tcPr>
                  <w:tcW w:w="406" w:type="pct"/>
                  <w:shd w:val="clear" w:color="auto" w:fill="auto"/>
                  <w:noWrap/>
                  <w:vAlign w:val="center"/>
                </w:tcPr>
                <w:p w14:paraId="617A7033">
                  <w:pPr>
                    <w:widowControl/>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54" w:type="pct"/>
                  <w:shd w:val="clear" w:color="auto" w:fill="auto"/>
                  <w:noWrap/>
                  <w:vAlign w:val="center"/>
                </w:tcPr>
                <w:p w14:paraId="312F51F5">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0.025</w:t>
                  </w:r>
                </w:p>
              </w:tc>
              <w:tc>
                <w:tcPr>
                  <w:tcW w:w="413" w:type="pct"/>
                  <w:shd w:val="clear" w:color="auto" w:fill="auto"/>
                  <w:noWrap/>
                  <w:vAlign w:val="center"/>
                </w:tcPr>
                <w:p w14:paraId="7F680063">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w:t>
                  </w:r>
                </w:p>
              </w:tc>
              <w:tc>
                <w:tcPr>
                  <w:tcW w:w="510" w:type="pct"/>
                  <w:shd w:val="clear" w:color="auto" w:fill="auto"/>
                  <w:noWrap/>
                  <w:vAlign w:val="center"/>
                </w:tcPr>
                <w:p w14:paraId="53E3D4B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799" w:type="pct"/>
                  <w:shd w:val="clear" w:color="auto" w:fill="auto"/>
                  <w:noWrap/>
                  <w:vAlign w:val="center"/>
                </w:tcPr>
                <w:p w14:paraId="666563C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c>
                <w:tcPr>
                  <w:tcW w:w="471" w:type="pct"/>
                  <w:shd w:val="clear" w:color="auto" w:fill="auto"/>
                  <w:noWrap/>
                  <w:vAlign w:val="center"/>
                </w:tcPr>
                <w:p w14:paraId="5AB097B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0.025</w:t>
                  </w:r>
                </w:p>
              </w:tc>
              <w:tc>
                <w:tcPr>
                  <w:tcW w:w="435" w:type="pct"/>
                  <w:shd w:val="clear" w:color="auto" w:fill="auto"/>
                  <w:noWrap/>
                  <w:vAlign w:val="center"/>
                </w:tcPr>
                <w:p w14:paraId="43B90E9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w:t>
                  </w:r>
                </w:p>
              </w:tc>
              <w:tc>
                <w:tcPr>
                  <w:tcW w:w="477" w:type="pct"/>
                  <w:shd w:val="clear" w:color="auto" w:fill="auto"/>
                  <w:noWrap/>
                  <w:vAlign w:val="center"/>
                </w:tcPr>
                <w:p w14:paraId="2D7178CB">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w:t>
                  </w:r>
                </w:p>
              </w:tc>
            </w:tr>
          </w:tbl>
          <w:p w14:paraId="60E29F82">
            <w:pPr>
              <w:spacing w:line="360" w:lineRule="auto"/>
              <w:ind w:firstLine="482"/>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lang w:bidi="zh-CN"/>
                <w14:textFill>
                  <w14:solidFill>
                    <w14:schemeClr w14:val="tx1"/>
                  </w14:solidFill>
                </w14:textFill>
              </w:rPr>
              <w:t>（</w:t>
            </w:r>
            <w:r>
              <w:rPr>
                <w:rFonts w:hint="default" w:ascii="Times New Roman" w:hAnsi="Times New Roman" w:cs="Times New Roman"/>
                <w:b/>
                <w:bCs/>
                <w:color w:val="000000" w:themeColor="text1"/>
                <w:sz w:val="24"/>
                <w:highlight w:val="none"/>
                <w:lang w:bidi="zh-CN"/>
                <w14:textFill>
                  <w14:solidFill>
                    <w14:schemeClr w14:val="tx1"/>
                  </w14:solidFill>
                </w14:textFill>
              </w:rPr>
              <w:t>3</w:t>
            </w:r>
            <w:r>
              <w:rPr>
                <w:rFonts w:hint="default" w:ascii="Times New Roman" w:hAnsi="Times New Roman" w:cs="Times New Roman"/>
                <w:b/>
                <w:bCs/>
                <w:color w:val="000000" w:themeColor="text1"/>
                <w:sz w:val="24"/>
                <w:highlight w:val="none"/>
                <w:lang w:bidi="zh-CN"/>
                <w14:textFill>
                  <w14:solidFill>
                    <w14:schemeClr w14:val="tx1"/>
                  </w14:solidFill>
                </w14:textFill>
              </w:rPr>
              <w:t>）</w:t>
            </w:r>
            <w:r>
              <w:rPr>
                <w:rFonts w:hint="default" w:ascii="Times New Roman" w:hAnsi="Times New Roman" w:cs="Times New Roman"/>
                <w:b/>
                <w:bCs/>
                <w:color w:val="000000" w:themeColor="text1"/>
                <w:sz w:val="24"/>
                <w:highlight w:val="none"/>
                <w14:textFill>
                  <w14:solidFill>
                    <w14:schemeClr w14:val="tx1"/>
                  </w14:solidFill>
                </w14:textFill>
              </w:rPr>
              <w:t>喷漆生产线废气</w:t>
            </w:r>
          </w:p>
          <w:p w14:paraId="710E2E8B">
            <w:pPr>
              <w:autoSpaceDE w:val="0"/>
              <w:autoSpaceDN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调漆废气</w:t>
            </w:r>
          </w:p>
          <w:p w14:paraId="481C6F0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项目设置有1间调漆室，对油性漆进行调配，调漆过程会产生会挥发性有机废气，调漆全过程均密闭操作，由于调配时间相对较短，加强车间通风后对环境影响较小，因此不对调漆废气进行定量核算。</w:t>
            </w:r>
          </w:p>
          <w:p w14:paraId="05DD1693">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危废暂存间有机废气</w:t>
            </w:r>
          </w:p>
          <w:p w14:paraId="0DB7B882">
            <w:pPr>
              <w:adjustRightInd w:val="0"/>
              <w:snapToGrid w:val="0"/>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现有厂区有危废暂存间1座，占地面积30m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，危废将分类分区堆放，其中油漆渣、废活性炭、废油漆桶储存区域采用彩钢夹心板结构整体密闭，其余危废盛装在密封的容器或口袋里，及时清运、</w:t>
            </w:r>
            <w:r>
              <w:rPr>
                <w:rFonts w:hint="default" w:ascii="Times New Roman" w:hAnsi="Times New Roman" w:cs="Times New Roman"/>
                <w:color w:val="000000" w:themeColor="text1"/>
                <w:sz w:val="24"/>
                <w:highlight w:val="none"/>
                <w:u w:val="single"/>
                <w14:textFill>
                  <w14:solidFill>
                    <w14:schemeClr w14:val="tx1"/>
                  </w14:solidFill>
                </w14:textFill>
              </w:rPr>
              <w:t>加强车间通风后对环境影响较小，因此不对</w:t>
            </w:r>
            <w:r>
              <w:rPr>
                <w:rFonts w:hint="default" w:ascii="Times New Roman" w:hAnsi="Times New Roman" w:cs="Times New Roman"/>
                <w:color w:val="000000" w:themeColor="text1"/>
                <w:sz w:val="24"/>
                <w:highlight w:val="none"/>
                <w:u w:val="single"/>
                <w14:textFill>
                  <w14:solidFill>
                    <w14:schemeClr w14:val="tx1"/>
                  </w14:solidFill>
                </w14:textFill>
              </w:rPr>
              <w:t>危废暂存间</w:t>
            </w:r>
            <w:r>
              <w:rPr>
                <w:rFonts w:hint="default" w:ascii="Times New Roman" w:hAnsi="Times New Roman" w:cs="Times New Roman"/>
                <w:color w:val="000000" w:themeColor="text1"/>
                <w:sz w:val="24"/>
                <w:highlight w:val="none"/>
                <w:u w:val="single"/>
                <w14:textFill>
                  <w14:solidFill>
                    <w14:schemeClr w14:val="tx1"/>
                  </w14:solidFill>
                </w14:textFill>
              </w:rPr>
              <w:t>废气进行定量核算。</w:t>
            </w:r>
          </w:p>
          <w:p w14:paraId="5C2E020E">
            <w:pPr>
              <w:adjustRightInd w:val="0"/>
              <w:snapToGrid w:val="0"/>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3）喷漆、烘干废气</w:t>
            </w:r>
          </w:p>
          <w:p w14:paraId="00290EFC">
            <w:pPr>
              <w:adjustRightInd w:val="0"/>
              <w:snapToGrid w:val="0"/>
              <w:spacing w:line="360" w:lineRule="auto"/>
              <w:ind w:firstLine="480" w:firstLineChars="200"/>
              <w:rPr>
                <w:rFonts w:hint="default" w:ascii="Times New Roman" w:hAnsi="Times New Roman" w:cs="Times New Roman"/>
                <w:color w:val="000000" w:themeColor="text1"/>
                <w:kern w:val="0"/>
                <w:sz w:val="24"/>
                <w:highlight w:val="none"/>
                <w:lang w:val="zh-CN"/>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现有工程与本次扩建工程的</w:t>
            </w:r>
            <w:r>
              <w:rPr>
                <w:rFonts w:hint="default" w:ascii="Times New Roman" w:hAnsi="Times New Roman" w:cs="Times New Roman"/>
                <w:color w:val="000000" w:themeColor="text1"/>
                <w:sz w:val="24"/>
                <w:highlight w:val="none"/>
                <w14:textFill>
                  <w14:solidFill>
                    <w14:schemeClr w14:val="tx1"/>
                  </w14:solidFill>
                </w14:textFill>
              </w:rPr>
              <w:t>喷漆生产线</w:t>
            </w:r>
            <w:r>
              <w:rPr>
                <w:rFonts w:hint="default" w:ascii="Times New Roman" w:hAnsi="Times New Roman" w:cs="Times New Roman"/>
                <w:color w:val="000000" w:themeColor="text1"/>
                <w:sz w:val="24"/>
                <w:highlight w:val="none"/>
                <w14:textFill>
                  <w14:solidFill>
                    <w14:schemeClr w14:val="tx1"/>
                  </w14:solidFill>
                </w14:textFill>
              </w:rPr>
              <w:t>共用</w:t>
            </w:r>
            <w:r>
              <w:rPr>
                <w:rFonts w:hint="default" w:ascii="Times New Roman" w:hAnsi="Times New Roman" w:cs="Times New Roman"/>
                <w:color w:val="000000" w:themeColor="text1"/>
                <w:sz w:val="24"/>
                <w:highlight w:val="none"/>
                <w14:textFill>
                  <w14:solidFill>
                    <w14:schemeClr w14:val="tx1"/>
                  </w14:solidFill>
                </w14:textFill>
              </w:rPr>
              <w:t>1套废气收集处理措施、1个排气筒，</w:t>
            </w:r>
            <w:r>
              <w:rPr>
                <w:rFonts w:hint="default" w:ascii="Times New Roman" w:hAnsi="Times New Roman" w:cs="Times New Roman"/>
                <w:color w:val="000000" w:themeColor="text1"/>
                <w:kern w:val="0"/>
                <w:sz w:val="24"/>
                <w:highlight w:val="none"/>
                <w:lang w:val="zh-CN"/>
                <w14:textFill>
                  <w14:solidFill>
                    <w14:schemeClr w14:val="tx1"/>
                  </w14:solidFill>
                </w14:textFill>
              </w:rPr>
              <w:t>具体环保措施及排气筒收集的产污环节废气情况见下表。</w:t>
            </w:r>
          </w:p>
          <w:p w14:paraId="4230909F">
            <w:pPr>
              <w:pStyle w:val="16"/>
              <w:autoSpaceDE w:val="0"/>
              <w:autoSpaceDN w:val="0"/>
              <w:rPr>
                <w:rFonts w:hint="default" w:ascii="Times New Roman" w:hAnsi="Times New Roman" w:eastAsia="黑体" w:cs="Times New Roman"/>
                <w:color w:val="000000" w:themeColor="text1"/>
                <w:sz w:val="24"/>
                <w:szCs w:val="24"/>
                <w:highlight w:val="none"/>
                <w14:textFill>
                  <w14:solidFill>
                    <w14:schemeClr w14:val="tx1"/>
                  </w14:solidFill>
                </w14:textFill>
              </w:rPr>
            </w:pPr>
            <w:r>
              <w:rPr>
                <w:rFonts w:hint="default" w:ascii="Times New Roman" w:hAnsi="Times New Roman" w:eastAsia="黑体" w:cs="Times New Roman"/>
                <w:color w:val="000000" w:themeColor="text1"/>
                <w:highlight w:val="none"/>
                <w14:textFill>
                  <w14:solidFill>
                    <w14:schemeClr w14:val="tx1"/>
                  </w14:solidFill>
                </w14:textFill>
              </w:rPr>
              <w:t>表</w:t>
            </w:r>
            <w:r>
              <w:rPr>
                <w:rFonts w:hint="default" w:ascii="Times New Roman" w:hAnsi="Times New Roman" w:cs="Times New Roman"/>
                <w:color w:val="000000" w:themeColor="text1"/>
                <w:highlight w:val="none"/>
                <w14:textFill>
                  <w14:solidFill>
                    <w14:schemeClr w14:val="tx1"/>
                  </w14:solidFill>
                </w14:textFill>
              </w:rPr>
              <w:t>4-7</w:t>
            </w:r>
            <w:r>
              <w:rPr>
                <w:rFonts w:hint="default" w:ascii="Times New Roman" w:hAnsi="Times New Roman" w:eastAsia="黑体" w:cs="Times New Roman"/>
                <w:color w:val="000000" w:themeColor="text1"/>
                <w:highlight w:val="none"/>
                <w14:textFill>
                  <w14:solidFill>
                    <w14:schemeClr w14:val="tx1"/>
                  </w14:solidFill>
                </w14:textFill>
              </w:rPr>
              <w:t xml:space="preserve">  喷漆废气</w:t>
            </w:r>
            <w:r>
              <w:rPr>
                <w:rFonts w:hint="default" w:ascii="Times New Roman" w:hAnsi="Times New Roman" w:eastAsia="黑体" w:cs="Times New Roman"/>
                <w:color w:val="000000" w:themeColor="text1"/>
                <w:highlight w:val="none"/>
                <w:lang w:val="zh-CN"/>
                <w14:textFill>
                  <w14:solidFill>
                    <w14:schemeClr w14:val="tx1"/>
                  </w14:solidFill>
                </w14:textFill>
              </w:rPr>
              <w:t>环保措施及排气筒收集的产污环节废气</w:t>
            </w:r>
            <w:r>
              <w:rPr>
                <w:rFonts w:hint="default" w:ascii="Times New Roman" w:hAnsi="Times New Roman" w:cs="Times New Roman"/>
                <w:color w:val="000000" w:themeColor="text1"/>
                <w:highlight w:val="none"/>
                <w:lang w:val="zh-CN"/>
                <w14:textFill>
                  <w14:solidFill>
                    <w14:schemeClr w14:val="tx1"/>
                  </w14:solidFill>
                </w14:textFill>
              </w:rPr>
              <w:t>情况</w:t>
            </w:r>
            <w:r>
              <w:rPr>
                <w:rFonts w:hint="default" w:ascii="Times New Roman" w:hAnsi="Times New Roman" w:eastAsia="黑体" w:cs="Times New Roman"/>
                <w:color w:val="000000" w:themeColor="text1"/>
                <w:highlight w:val="none"/>
                <w:lang w:val="zh-CN"/>
                <w14:textFill>
                  <w14:solidFill>
                    <w14:schemeClr w14:val="tx1"/>
                  </w14:solidFill>
                </w14:textFill>
              </w:rPr>
              <w:t>一览表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392"/>
              <w:gridCol w:w="1392"/>
              <w:gridCol w:w="1392"/>
              <w:gridCol w:w="1393"/>
              <w:gridCol w:w="1393"/>
            </w:tblGrid>
            <w:tr w14:paraId="1C133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center"/>
                </w:tcPr>
                <w:p w14:paraId="5C28EAA5">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产品</w:t>
                  </w:r>
                </w:p>
              </w:tc>
              <w:tc>
                <w:tcPr>
                  <w:tcW w:w="1392" w:type="dxa"/>
                  <w:vAlign w:val="center"/>
                </w:tcPr>
                <w:p w14:paraId="28BE9DB9">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用漆类型</w:t>
                  </w:r>
                </w:p>
              </w:tc>
              <w:tc>
                <w:tcPr>
                  <w:tcW w:w="1392" w:type="dxa"/>
                  <w:vAlign w:val="center"/>
                </w:tcPr>
                <w:p w14:paraId="33B59D9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val="zh-CN"/>
                      <w14:textFill>
                        <w14:solidFill>
                          <w14:schemeClr w14:val="tx1"/>
                        </w14:solidFill>
                      </w14:textFill>
                    </w:rPr>
                    <w:t>产污环节废气</w:t>
                  </w:r>
                </w:p>
              </w:tc>
              <w:tc>
                <w:tcPr>
                  <w:tcW w:w="1392" w:type="dxa"/>
                  <w:vAlign w:val="center"/>
                </w:tcPr>
                <w:p w14:paraId="596CA75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风量设置</w:t>
                  </w:r>
                </w:p>
              </w:tc>
              <w:tc>
                <w:tcPr>
                  <w:tcW w:w="1393" w:type="dxa"/>
                  <w:vAlign w:val="center"/>
                </w:tcPr>
                <w:p w14:paraId="385B9E00">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环保设施</w:t>
                  </w:r>
                </w:p>
              </w:tc>
              <w:tc>
                <w:tcPr>
                  <w:tcW w:w="1393" w:type="dxa"/>
                  <w:vAlign w:val="center"/>
                </w:tcPr>
                <w:p w14:paraId="2DC93C18">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排气筒</w:t>
                  </w:r>
                </w:p>
              </w:tc>
            </w:tr>
            <w:tr w14:paraId="3E846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center"/>
                </w:tcPr>
                <w:p w14:paraId="27A1B92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高效节能制砂、制石成套系统及重装设备</w:t>
                  </w:r>
                </w:p>
              </w:tc>
              <w:tc>
                <w:tcPr>
                  <w:tcW w:w="1392" w:type="dxa"/>
                  <w:vAlign w:val="center"/>
                </w:tcPr>
                <w:p w14:paraId="0248C8AA">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油性漆</w:t>
                  </w:r>
                </w:p>
              </w:tc>
              <w:tc>
                <w:tcPr>
                  <w:tcW w:w="1392" w:type="dxa"/>
                  <w:vAlign w:val="center"/>
                </w:tcPr>
                <w:p w14:paraId="3D46DDC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喷漆房</w:t>
                  </w:r>
                </w:p>
              </w:tc>
              <w:tc>
                <w:tcPr>
                  <w:tcW w:w="1392" w:type="dxa"/>
                  <w:vMerge w:val="restart"/>
                  <w:vAlign w:val="center"/>
                </w:tcPr>
                <w:p w14:paraId="62B6E1BA">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48000m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/h</w:t>
                  </w:r>
                </w:p>
              </w:tc>
              <w:tc>
                <w:tcPr>
                  <w:tcW w:w="1393" w:type="dxa"/>
                  <w:vMerge w:val="restart"/>
                  <w:vAlign w:val="center"/>
                </w:tcPr>
                <w:p w14:paraId="1CFE838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1套水喷淋+干式过滤+活性炭吸附/脱附+催化燃烧+15m高排气筒</w:t>
                  </w:r>
                </w:p>
              </w:tc>
              <w:tc>
                <w:tcPr>
                  <w:tcW w:w="1393" w:type="dxa"/>
                  <w:vMerge w:val="restart"/>
                  <w:vAlign w:val="center"/>
                </w:tcPr>
                <w:p w14:paraId="6B08752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DA00</w:t>
                  </w:r>
                  <w:r>
                    <w:rPr>
                      <w:rFonts w:hint="default" w:ascii="Times New Roman" w:hAnsi="Times New Roman" w:cs="Times New Roman"/>
                      <w:color w:val="000000" w:themeColor="text1"/>
                      <w:highlight w:val="none"/>
                      <w14:textFill>
                        <w14:solidFill>
                          <w14:schemeClr w14:val="tx1"/>
                        </w14:solidFill>
                      </w14:textFill>
                    </w:rPr>
                    <w:t>3</w:t>
                  </w:r>
                </w:p>
              </w:tc>
            </w:tr>
            <w:tr w14:paraId="4371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center"/>
                </w:tcPr>
                <w:p w14:paraId="795D6722">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通用设备结构件</w:t>
                  </w:r>
                </w:p>
              </w:tc>
              <w:tc>
                <w:tcPr>
                  <w:tcW w:w="1392" w:type="dxa"/>
                  <w:vAlign w:val="center"/>
                </w:tcPr>
                <w:p w14:paraId="0F4A72FF">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油性漆</w:t>
                  </w:r>
                  <w:r>
                    <w:rPr>
                      <w:rFonts w:hint="default" w:ascii="Times New Roman" w:hAnsi="Times New Roman" w:cs="Times New Roman"/>
                      <w:color w:val="000000" w:themeColor="text1"/>
                      <w:highlight w:val="none"/>
                      <w14:textFill>
                        <w14:solidFill>
                          <w14:schemeClr w14:val="tx1"/>
                        </w14:solidFill>
                      </w14:textFill>
                    </w:rPr>
                    <w:t>、水性漆</w:t>
                  </w:r>
                </w:p>
              </w:tc>
              <w:tc>
                <w:tcPr>
                  <w:tcW w:w="1392" w:type="dxa"/>
                  <w:vAlign w:val="center"/>
                </w:tcPr>
                <w:p w14:paraId="362A6CFD">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喷漆房、喷枪清洗</w:t>
                  </w:r>
                </w:p>
              </w:tc>
              <w:tc>
                <w:tcPr>
                  <w:tcW w:w="1392" w:type="dxa"/>
                  <w:vMerge w:val="continue"/>
                  <w:vAlign w:val="center"/>
                </w:tcPr>
                <w:p w14:paraId="14A40346">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1393" w:type="dxa"/>
                  <w:vMerge w:val="continue"/>
                  <w:vAlign w:val="center"/>
                </w:tcPr>
                <w:p w14:paraId="731E5457">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c>
                <w:tcPr>
                  <w:tcW w:w="1393" w:type="dxa"/>
                  <w:vMerge w:val="continue"/>
                  <w:vAlign w:val="center"/>
                </w:tcPr>
                <w:p w14:paraId="6D968B7C">
                  <w:pPr>
                    <w:pStyle w:val="95"/>
                    <w:spacing w:before="0" w:after="0"/>
                    <w:ind w:left="-105" w:leftChars="-50" w:right="-105" w:rightChars="-50"/>
                    <w:textAlignment w:val="auto"/>
                    <w:rPr>
                      <w:rFonts w:hint="default" w:ascii="Times New Roman" w:hAnsi="Times New Roman" w:cs="Times New Roman"/>
                      <w:color w:val="000000" w:themeColor="text1"/>
                      <w:highlight w:val="none"/>
                      <w14:textFill>
                        <w14:solidFill>
                          <w14:schemeClr w14:val="tx1"/>
                        </w14:solidFill>
                      </w14:textFill>
                    </w:rPr>
                  </w:pPr>
                </w:p>
              </w:tc>
            </w:tr>
          </w:tbl>
          <w:p w14:paraId="05A5E4DF">
            <w:pPr>
              <w:spacing w:line="360" w:lineRule="auto"/>
              <w:ind w:firstLine="482"/>
              <w:rPr>
                <w:rFonts w:hint="default" w:ascii="Times New Roman" w:hAnsi="Times New Roman" w:eastAsia="黑体" w:cs="Times New Roman"/>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通过上表可知，本项目采用的挥发性有机废气处理措施为：水喷淋+干式过滤+活性炭吸附/脱附+催化燃烧+15m高排气筒。参照《污染源源强核算技术指南汽车制造》（HJ 1097-2020）表F.1废气污染治理技术及去除效率一览表，本项目漆雾处理采用水喷淋，属于漆雾湿式处理技术，类似水帘湿式漆雾净化，喷漆废气先经水喷淋处理（水喷淋顶部设置除雾层）再干式过滤后通过“活性炭吸附/脱附+催化燃烧+15m高排气筒（DA00</w:t>
            </w:r>
            <w:r>
              <w:rPr>
                <w:rFonts w:hint="default" w:ascii="Times New Roman" w:hAnsi="Times New Roman" w:cs="Times New Roman"/>
                <w:color w:val="000000" w:themeColor="text1"/>
                <w:sz w:val="24"/>
                <w:highlight w:val="none"/>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）”排放。</w:t>
            </w:r>
            <w:r>
              <w:rPr>
                <w:rFonts w:hint="default" w:ascii="Times New Roman" w:hAnsi="Times New Roman" w:cs="Times New Roman"/>
                <w:color w:val="000000" w:themeColor="text1"/>
                <w:sz w:val="24"/>
                <w:highlight w:val="none"/>
                <w14:textFill>
                  <w14:solidFill>
                    <w14:schemeClr w14:val="tx1"/>
                  </w14:solidFill>
                </w14:textFill>
              </w:rPr>
              <w:t>类比工程工程</w:t>
            </w:r>
            <w:r>
              <w:rPr>
                <w:rFonts w:hint="default" w:ascii="Times New Roman" w:hAnsi="Times New Roman" w:cs="Times New Roman"/>
                <w:color w:val="000000" w:themeColor="text1"/>
                <w:sz w:val="24"/>
                <w:highlight w:val="none"/>
                <w14:textFill>
                  <w14:solidFill>
                    <w14:schemeClr w14:val="tx1"/>
                  </w14:solidFill>
                </w14:textFill>
              </w:rPr>
              <w:t>，颗粒物、VOC</w:t>
            </w:r>
            <w:r>
              <w:rPr>
                <w:rFonts w:hint="default" w:ascii="Times New Roman" w:hAnsi="Times New Roman" w:cs="Times New Roman"/>
                <w:color w:val="000000" w:themeColor="text1"/>
                <w:sz w:val="24"/>
                <w:highlight w:val="none"/>
                <w14:textFill>
                  <w14:solidFill>
                    <w14:schemeClr w14:val="tx1"/>
                  </w14:solidFill>
                </w14:textFill>
              </w:rPr>
              <w:t>s</w:t>
            </w:r>
            <w:r>
              <w:rPr>
                <w:rFonts w:hint="default" w:ascii="Times New Roman" w:hAnsi="Times New Roman" w:cs="Times New Roman"/>
                <w:color w:val="000000" w:themeColor="text1"/>
                <w:sz w:val="24"/>
                <w:highlight w:val="none"/>
                <w14:textFill>
                  <w14:solidFill>
                    <w14:schemeClr w14:val="tx1"/>
                  </w14:solidFill>
                </w14:textFill>
              </w:rPr>
              <w:t>平均处理效率为 95.76%（本次按95%），二甲苯平均处理效率为94.712% （本次按94%）。</w:t>
            </w:r>
          </w:p>
          <w:p w14:paraId="4849E23A">
            <w:pPr>
              <w:widowControl/>
              <w:adjustRightInd w:val="0"/>
              <w:snapToGrid w:val="0"/>
              <w:jc w:val="center"/>
              <w:rPr>
                <w:rFonts w:hint="default" w:ascii="Times New Roman" w:hAnsi="Times New Roman" w:eastAsia="黑体" w:cs="Times New Roman"/>
                <w:color w:val="000000" w:themeColor="text1"/>
                <w:szCs w:val="21"/>
                <w:highlight w:val="none"/>
                <w14:textFill>
                  <w14:solidFill>
                    <w14:schemeClr w14:val="tx1"/>
                  </w14:solidFill>
                </w14:textFill>
              </w:rPr>
            </w:pPr>
            <w:r>
              <w:rPr>
                <w:rFonts w:hint="default" w:ascii="Times New Roman" w:hAnsi="Times New Roman" w:eastAsia="黑体" w:cs="Times New Roman"/>
                <w:b/>
                <w:bCs/>
                <w:color w:val="000000" w:themeColor="text1"/>
                <w:szCs w:val="21"/>
                <w:highlight w:val="none"/>
                <w14:textFill>
                  <w14:solidFill>
                    <w14:schemeClr w14:val="tx1"/>
                  </w14:solidFill>
                </w14:textFill>
              </w:rPr>
              <w:t>表4-8 项目废气措施处理效率</w:t>
            </w:r>
          </w:p>
          <w:tbl>
            <w:tblPr>
              <w:tblStyle w:val="99"/>
              <w:tblpPr w:leftFromText="180" w:rightFromText="180" w:vertAnchor="text" w:tblpY="1"/>
              <w:tblOverlap w:val="never"/>
              <w:tblW w:w="83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5"/>
              <w:gridCol w:w="1370"/>
              <w:gridCol w:w="4380"/>
              <w:gridCol w:w="1586"/>
            </w:tblGrid>
            <w:tr w14:paraId="0D0D0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5" w:type="dxa"/>
                  <w:gridSpan w:val="2"/>
                  <w:vAlign w:val="center"/>
                </w:tcPr>
                <w:p w14:paraId="5578B325">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w:t>
                  </w:r>
                </w:p>
              </w:tc>
              <w:tc>
                <w:tcPr>
                  <w:tcW w:w="4380" w:type="dxa"/>
                  <w:vAlign w:val="center"/>
                </w:tcPr>
                <w:p w14:paraId="127D77BF">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废气处理措施</w:t>
                  </w:r>
                </w:p>
              </w:tc>
              <w:tc>
                <w:tcPr>
                  <w:tcW w:w="1586" w:type="dxa"/>
                  <w:vAlign w:val="center"/>
                </w:tcPr>
                <w:p w14:paraId="7267A40A">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综合处理效率</w:t>
                  </w:r>
                </w:p>
              </w:tc>
            </w:tr>
            <w:tr w14:paraId="28444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25" w:type="dxa"/>
                  <w:vMerge w:val="restart"/>
                  <w:vAlign w:val="center"/>
                </w:tcPr>
                <w:p w14:paraId="472C882E">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喷漆生产线</w:t>
                  </w:r>
                </w:p>
              </w:tc>
              <w:tc>
                <w:tcPr>
                  <w:tcW w:w="1370" w:type="dxa"/>
                  <w:vAlign w:val="center"/>
                </w:tcPr>
                <w:p w14:paraId="127124AE">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4380" w:type="dxa"/>
                  <w:vMerge w:val="restart"/>
                  <w:vAlign w:val="center"/>
                </w:tcPr>
                <w:p w14:paraId="1998E421">
                  <w:pPr>
                    <w:widowControl/>
                    <w:adjustRightInd w:val="0"/>
                    <w:snapToGrid w:val="0"/>
                    <w:ind w:left="62"/>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喷漆废气先经水喷淋+干式过滤器处理再通过“活性炭吸附/脱附+催化燃烧+15m高排气筒（DA00</w:t>
                  </w:r>
                  <w:r>
                    <w:rPr>
                      <w:rFonts w:hint="default" w:ascii="Times New Roman" w:hAnsi="Times New Roman" w:cs="Times New Roman"/>
                      <w:color w:val="000000" w:themeColor="text1"/>
                      <w:szCs w:val="21"/>
                      <w:highlight w:val="none"/>
                      <w14:textFill>
                        <w14:solidFill>
                          <w14:schemeClr w14:val="tx1"/>
                        </w14:solidFill>
                      </w14:textFill>
                    </w:rPr>
                    <w:t>3</w:t>
                  </w:r>
                  <w:r>
                    <w:rPr>
                      <w:rFonts w:hint="default" w:ascii="Times New Roman" w:hAnsi="Times New Roman" w:cs="Times New Roman"/>
                      <w:color w:val="000000" w:themeColor="text1"/>
                      <w:szCs w:val="21"/>
                      <w:highlight w:val="none"/>
                      <w14:textFill>
                        <w14:solidFill>
                          <w14:schemeClr w14:val="tx1"/>
                        </w14:solidFill>
                      </w14:textFill>
                    </w:rPr>
                    <w:t>）”</w:t>
                  </w:r>
                </w:p>
              </w:tc>
              <w:tc>
                <w:tcPr>
                  <w:tcW w:w="1586" w:type="dxa"/>
                  <w:vAlign w:val="center"/>
                </w:tcPr>
                <w:p w14:paraId="19749351">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95%</w:t>
                  </w:r>
                </w:p>
              </w:tc>
            </w:tr>
            <w:tr w14:paraId="18AD8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025" w:type="dxa"/>
                  <w:vMerge w:val="continue"/>
                  <w:vAlign w:val="center"/>
                </w:tcPr>
                <w:p w14:paraId="5FA27A96">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370" w:type="dxa"/>
                  <w:vAlign w:val="center"/>
                </w:tcPr>
                <w:p w14:paraId="7745A8E0">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VOCs</w:t>
                  </w:r>
                </w:p>
              </w:tc>
              <w:tc>
                <w:tcPr>
                  <w:tcW w:w="4380" w:type="dxa"/>
                  <w:vMerge w:val="continue"/>
                  <w:vAlign w:val="center"/>
                </w:tcPr>
                <w:p w14:paraId="466C9827">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586" w:type="dxa"/>
                  <w:vAlign w:val="center"/>
                </w:tcPr>
                <w:p w14:paraId="4F15F6E5">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95%</w:t>
                  </w:r>
                </w:p>
              </w:tc>
            </w:tr>
            <w:tr w14:paraId="10139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1025" w:type="dxa"/>
                  <w:vMerge w:val="continue"/>
                  <w:vAlign w:val="center"/>
                </w:tcPr>
                <w:p w14:paraId="5499E7A3">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370" w:type="dxa"/>
                  <w:vAlign w:val="center"/>
                </w:tcPr>
                <w:p w14:paraId="2F584084">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二甲苯</w:t>
                  </w:r>
                </w:p>
              </w:tc>
              <w:tc>
                <w:tcPr>
                  <w:tcW w:w="4380" w:type="dxa"/>
                  <w:vMerge w:val="continue"/>
                  <w:vAlign w:val="center"/>
                </w:tcPr>
                <w:p w14:paraId="67AFDBCC">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586" w:type="dxa"/>
                  <w:vAlign w:val="center"/>
                </w:tcPr>
                <w:p w14:paraId="609004C3">
                  <w:pPr>
                    <w:widowControl/>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94%</w:t>
                  </w:r>
                </w:p>
              </w:tc>
            </w:tr>
          </w:tbl>
          <w:p w14:paraId="5B7B2C58">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①原有工程油漆废气污染物</w:t>
            </w:r>
          </w:p>
          <w:p w14:paraId="1F6104E9">
            <w:pPr>
              <w:widowControl/>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根据前章项目油漆用量核算</w:t>
            </w:r>
            <w:r>
              <w:rPr>
                <w:rFonts w:hint="default" w:ascii="Times New Roman" w:hAnsi="Times New Roman" w:cs="Times New Roman"/>
                <w:color w:val="000000" w:themeColor="text1"/>
                <w:sz w:val="24"/>
                <w:highlight w:val="none"/>
                <w:u w:val="single"/>
                <w14:textFill>
                  <w14:solidFill>
                    <w14:schemeClr w14:val="tx1"/>
                  </w14:solidFill>
                </w14:textFill>
              </w:rPr>
              <w:t>及组分情况</w:t>
            </w:r>
            <w:r>
              <w:rPr>
                <w:rFonts w:hint="default" w:ascii="Times New Roman" w:hAnsi="Times New Roman" w:cs="Times New Roman"/>
                <w:color w:val="000000" w:themeColor="text1"/>
                <w:sz w:val="24"/>
                <w:highlight w:val="none"/>
                <w:u w:val="singl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现有项目</w:t>
            </w:r>
            <w:r>
              <w:rPr>
                <w:rFonts w:hint="default" w:ascii="Times New Roman" w:hAnsi="Times New Roman" w:cs="Times New Roman"/>
                <w:color w:val="000000" w:themeColor="text1"/>
                <w:sz w:val="24"/>
                <w:highlight w:val="none"/>
                <w:u w:val="single"/>
                <w14:textFill>
                  <w14:solidFill>
                    <w14:schemeClr w14:val="tx1"/>
                  </w14:solidFill>
                </w14:textFill>
              </w:rPr>
              <w:t>油漆</w:t>
            </w:r>
            <w:r>
              <w:rPr>
                <w:rFonts w:hint="default" w:ascii="Times New Roman" w:hAnsi="Times New Roman" w:cs="Times New Roman"/>
                <w:color w:val="000000" w:themeColor="text1"/>
                <w:sz w:val="24"/>
                <w:highlight w:val="none"/>
                <w:u w:val="single"/>
                <w14:textFill>
                  <w14:solidFill>
                    <w14:schemeClr w14:val="tx1"/>
                  </w14:solidFill>
                </w14:textFill>
              </w:rPr>
              <w:t>废气污染物产生量见下表。</w:t>
            </w:r>
          </w:p>
          <w:p w14:paraId="6806296C">
            <w:pPr>
              <w:widowControl/>
              <w:jc w:val="center"/>
              <w:rPr>
                <w:rFonts w:hint="default" w:ascii="Times New Roman" w:hAnsi="Times New Roman" w:cs="Times New Roman"/>
                <w:b/>
                <w:bCs/>
                <w:color w:val="000000" w:themeColor="text1"/>
                <w:szCs w:val="21"/>
                <w:highlight w:val="none"/>
                <w:u w:val="single"/>
                <w14:textFill>
                  <w14:solidFill>
                    <w14:schemeClr w14:val="tx1"/>
                  </w14:solidFill>
                </w14:textFill>
              </w:rPr>
            </w:pPr>
            <w:r>
              <w:rPr>
                <w:rFonts w:hint="default" w:ascii="Times New Roman" w:hAnsi="Times New Roman" w:cs="Times New Roman"/>
                <w:b/>
                <w:bCs/>
                <w:color w:val="000000" w:themeColor="text1"/>
                <w:szCs w:val="21"/>
                <w:highlight w:val="none"/>
                <w:u w:val="single"/>
                <w14:textFill>
                  <w14:solidFill>
                    <w14:schemeClr w14:val="tx1"/>
                  </w14:solidFill>
                </w14:textFill>
              </w:rPr>
              <w:t>表4-9  现有项目油漆废气污染物产生量</w:t>
            </w:r>
          </w:p>
          <w:tbl>
            <w:tblPr>
              <w:tblStyle w:val="34"/>
              <w:tblW w:w="84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3"/>
              <w:gridCol w:w="750"/>
              <w:gridCol w:w="873"/>
              <w:gridCol w:w="982"/>
              <w:gridCol w:w="859"/>
              <w:gridCol w:w="1077"/>
              <w:gridCol w:w="982"/>
              <w:gridCol w:w="1050"/>
              <w:gridCol w:w="1052"/>
            </w:tblGrid>
            <w:tr w14:paraId="7C04C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853" w:type="dxa"/>
                  <w:vMerge w:val="restart"/>
                  <w:vAlign w:val="center"/>
                </w:tcPr>
                <w:p w14:paraId="4F6FF8B6">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种类</w:t>
                  </w:r>
                </w:p>
              </w:tc>
              <w:tc>
                <w:tcPr>
                  <w:tcW w:w="750" w:type="dxa"/>
                  <w:vMerge w:val="restart"/>
                  <w:vAlign w:val="center"/>
                </w:tcPr>
                <w:p w14:paraId="15A54E36">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年耗量（t/a）</w:t>
                  </w:r>
                </w:p>
              </w:tc>
              <w:tc>
                <w:tcPr>
                  <w:tcW w:w="873" w:type="dxa"/>
                  <w:vMerge w:val="restart"/>
                  <w:vAlign w:val="center"/>
                </w:tcPr>
                <w:p w14:paraId="01B63D4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固体组分</w:t>
                  </w:r>
                </w:p>
              </w:tc>
              <w:tc>
                <w:tcPr>
                  <w:tcW w:w="982" w:type="dxa"/>
                  <w:vMerge w:val="restart"/>
                  <w:vAlign w:val="center"/>
                </w:tcPr>
                <w:p w14:paraId="475936C4">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固体组分产生量（t/a）</w:t>
                  </w:r>
                </w:p>
              </w:tc>
              <w:tc>
                <w:tcPr>
                  <w:tcW w:w="859" w:type="dxa"/>
                  <w:vMerge w:val="restart"/>
                  <w:vAlign w:val="center"/>
                </w:tcPr>
                <w:p w14:paraId="4496C79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挥发分组分</w:t>
                  </w:r>
                </w:p>
              </w:tc>
              <w:tc>
                <w:tcPr>
                  <w:tcW w:w="4161" w:type="dxa"/>
                  <w:gridSpan w:val="4"/>
                  <w:vAlign w:val="center"/>
                </w:tcPr>
                <w:p w14:paraId="6774844F">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其中：</w:t>
                  </w:r>
                </w:p>
              </w:tc>
            </w:tr>
            <w:tr w14:paraId="227C7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53" w:type="dxa"/>
                  <w:vMerge w:val="continue"/>
                  <w:vAlign w:val="center"/>
                </w:tcPr>
                <w:p w14:paraId="5E39797A">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750" w:type="dxa"/>
                  <w:vMerge w:val="continue"/>
                  <w:vAlign w:val="center"/>
                </w:tcPr>
                <w:p w14:paraId="5DF62BFD">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873" w:type="dxa"/>
                  <w:vMerge w:val="continue"/>
                  <w:vAlign w:val="center"/>
                </w:tcPr>
                <w:p w14:paraId="48026D9D">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982" w:type="dxa"/>
                  <w:vMerge w:val="continue"/>
                  <w:vAlign w:val="center"/>
                </w:tcPr>
                <w:p w14:paraId="2033FEAC">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859" w:type="dxa"/>
                  <w:vMerge w:val="continue"/>
                  <w:vAlign w:val="center"/>
                </w:tcPr>
                <w:p w14:paraId="05BDCFC6">
                  <w:pPr>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077" w:type="dxa"/>
                  <w:shd w:val="clear" w:color="auto" w:fill="auto"/>
                  <w:vAlign w:val="center"/>
                </w:tcPr>
                <w:p w14:paraId="5DD896C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VOCs组分</w:t>
                  </w:r>
                </w:p>
              </w:tc>
              <w:tc>
                <w:tcPr>
                  <w:tcW w:w="982" w:type="dxa"/>
                  <w:shd w:val="clear" w:color="auto" w:fill="auto"/>
                  <w:vAlign w:val="center"/>
                </w:tcPr>
                <w:p w14:paraId="591C29F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VOCs组分产生量（t/a）</w:t>
                  </w:r>
                </w:p>
              </w:tc>
              <w:tc>
                <w:tcPr>
                  <w:tcW w:w="1050" w:type="dxa"/>
                  <w:shd w:val="clear" w:color="auto" w:fill="auto"/>
                  <w:vAlign w:val="center"/>
                </w:tcPr>
                <w:p w14:paraId="2882463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二甲苯组分</w:t>
                  </w:r>
                </w:p>
              </w:tc>
              <w:tc>
                <w:tcPr>
                  <w:tcW w:w="1052" w:type="dxa"/>
                  <w:vAlign w:val="center"/>
                </w:tcPr>
                <w:p w14:paraId="28CB836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二甲苯产生量（t/a）</w:t>
                  </w:r>
                </w:p>
              </w:tc>
            </w:tr>
            <w:tr w14:paraId="60D12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vAlign w:val="center"/>
                </w:tcPr>
                <w:p w14:paraId="1C3B07DD">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底漆</w:t>
                  </w:r>
                </w:p>
              </w:tc>
              <w:tc>
                <w:tcPr>
                  <w:tcW w:w="750" w:type="dxa"/>
                  <w:vAlign w:val="center"/>
                </w:tcPr>
                <w:p w14:paraId="1FA95D5D">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1.5</w:t>
                  </w:r>
                </w:p>
              </w:tc>
              <w:tc>
                <w:tcPr>
                  <w:tcW w:w="873" w:type="dxa"/>
                  <w:vAlign w:val="center"/>
                </w:tcPr>
                <w:p w14:paraId="3F6F757A">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55%</w:t>
                  </w:r>
                </w:p>
              </w:tc>
              <w:tc>
                <w:tcPr>
                  <w:tcW w:w="982" w:type="dxa"/>
                  <w:vAlign w:val="center"/>
                </w:tcPr>
                <w:p w14:paraId="31FAA81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0.825</w:t>
                  </w:r>
                </w:p>
              </w:tc>
              <w:tc>
                <w:tcPr>
                  <w:tcW w:w="859" w:type="dxa"/>
                  <w:vAlign w:val="center"/>
                </w:tcPr>
                <w:p w14:paraId="780FE50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45%</w:t>
                  </w:r>
                </w:p>
              </w:tc>
              <w:tc>
                <w:tcPr>
                  <w:tcW w:w="1077" w:type="dxa"/>
                  <w:vAlign w:val="center"/>
                </w:tcPr>
                <w:p w14:paraId="14D239DA">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40%</w:t>
                  </w:r>
                </w:p>
              </w:tc>
              <w:tc>
                <w:tcPr>
                  <w:tcW w:w="982" w:type="dxa"/>
                  <w:vAlign w:val="center"/>
                </w:tcPr>
                <w:p w14:paraId="600220D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0.6</w:t>
                  </w:r>
                </w:p>
              </w:tc>
              <w:tc>
                <w:tcPr>
                  <w:tcW w:w="1050" w:type="dxa"/>
                  <w:vAlign w:val="center"/>
                </w:tcPr>
                <w:p w14:paraId="4CB3686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5%</w:t>
                  </w:r>
                </w:p>
              </w:tc>
              <w:tc>
                <w:tcPr>
                  <w:tcW w:w="1052" w:type="dxa"/>
                  <w:vAlign w:val="center"/>
                </w:tcPr>
                <w:p w14:paraId="19B8C7AE">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0.075</w:t>
                  </w:r>
                </w:p>
              </w:tc>
            </w:tr>
            <w:tr w14:paraId="7AFF4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vAlign w:val="center"/>
                </w:tcPr>
                <w:p w14:paraId="5204A31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面漆</w:t>
                  </w:r>
                </w:p>
              </w:tc>
              <w:tc>
                <w:tcPr>
                  <w:tcW w:w="750" w:type="dxa"/>
                  <w:vAlign w:val="center"/>
                </w:tcPr>
                <w:p w14:paraId="16F07AC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1.5</w:t>
                  </w:r>
                </w:p>
              </w:tc>
              <w:tc>
                <w:tcPr>
                  <w:tcW w:w="873" w:type="dxa"/>
                  <w:vAlign w:val="center"/>
                </w:tcPr>
                <w:p w14:paraId="22A2CF3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65%</w:t>
                  </w:r>
                </w:p>
              </w:tc>
              <w:tc>
                <w:tcPr>
                  <w:tcW w:w="982" w:type="dxa"/>
                  <w:vAlign w:val="center"/>
                </w:tcPr>
                <w:p w14:paraId="5AF4C0FB">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0.975</w:t>
                  </w:r>
                </w:p>
              </w:tc>
              <w:tc>
                <w:tcPr>
                  <w:tcW w:w="859" w:type="dxa"/>
                  <w:vAlign w:val="center"/>
                </w:tcPr>
                <w:p w14:paraId="7A9C400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35%</w:t>
                  </w:r>
                </w:p>
              </w:tc>
              <w:tc>
                <w:tcPr>
                  <w:tcW w:w="1077" w:type="dxa"/>
                  <w:vAlign w:val="center"/>
                </w:tcPr>
                <w:p w14:paraId="5750A35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30%</w:t>
                  </w:r>
                </w:p>
              </w:tc>
              <w:tc>
                <w:tcPr>
                  <w:tcW w:w="982" w:type="dxa"/>
                  <w:vAlign w:val="center"/>
                </w:tcPr>
                <w:p w14:paraId="4B96D19D">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0.45</w:t>
                  </w:r>
                </w:p>
              </w:tc>
              <w:tc>
                <w:tcPr>
                  <w:tcW w:w="1050" w:type="dxa"/>
                  <w:vAlign w:val="center"/>
                </w:tcPr>
                <w:p w14:paraId="73F456CA">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5%</w:t>
                  </w:r>
                </w:p>
              </w:tc>
              <w:tc>
                <w:tcPr>
                  <w:tcW w:w="1052" w:type="dxa"/>
                  <w:vAlign w:val="center"/>
                </w:tcPr>
                <w:p w14:paraId="7FB26CA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0.075</w:t>
                  </w:r>
                </w:p>
              </w:tc>
            </w:tr>
            <w:tr w14:paraId="30B2F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vAlign w:val="center"/>
                </w:tcPr>
                <w:p w14:paraId="2EE5E90D">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固化剂</w:t>
                  </w:r>
                </w:p>
              </w:tc>
              <w:tc>
                <w:tcPr>
                  <w:tcW w:w="750" w:type="dxa"/>
                  <w:vAlign w:val="center"/>
                </w:tcPr>
                <w:p w14:paraId="452A6952">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1.65</w:t>
                  </w:r>
                </w:p>
              </w:tc>
              <w:tc>
                <w:tcPr>
                  <w:tcW w:w="873" w:type="dxa"/>
                  <w:vAlign w:val="center"/>
                </w:tcPr>
                <w:p w14:paraId="0717413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40%</w:t>
                  </w:r>
                </w:p>
              </w:tc>
              <w:tc>
                <w:tcPr>
                  <w:tcW w:w="982" w:type="dxa"/>
                  <w:vAlign w:val="center"/>
                </w:tcPr>
                <w:p w14:paraId="222D86F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0.66</w:t>
                  </w:r>
                </w:p>
              </w:tc>
              <w:tc>
                <w:tcPr>
                  <w:tcW w:w="859" w:type="dxa"/>
                  <w:vAlign w:val="center"/>
                </w:tcPr>
                <w:p w14:paraId="479F7D1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60%</w:t>
                  </w:r>
                </w:p>
              </w:tc>
              <w:tc>
                <w:tcPr>
                  <w:tcW w:w="1077" w:type="dxa"/>
                  <w:vAlign w:val="center"/>
                </w:tcPr>
                <w:p w14:paraId="4C8F6AA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45%</w:t>
                  </w:r>
                </w:p>
              </w:tc>
              <w:tc>
                <w:tcPr>
                  <w:tcW w:w="982" w:type="dxa"/>
                  <w:vAlign w:val="center"/>
                </w:tcPr>
                <w:p w14:paraId="34FC179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0.743</w:t>
                  </w:r>
                </w:p>
              </w:tc>
              <w:tc>
                <w:tcPr>
                  <w:tcW w:w="1050" w:type="dxa"/>
                  <w:vAlign w:val="center"/>
                </w:tcPr>
                <w:p w14:paraId="46228E5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15%</w:t>
                  </w:r>
                </w:p>
              </w:tc>
              <w:tc>
                <w:tcPr>
                  <w:tcW w:w="1052" w:type="dxa"/>
                  <w:vAlign w:val="center"/>
                </w:tcPr>
                <w:p w14:paraId="36BAA0AE">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0.247</w:t>
                  </w:r>
                </w:p>
              </w:tc>
            </w:tr>
            <w:tr w14:paraId="3B0D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vAlign w:val="center"/>
                </w:tcPr>
                <w:p w14:paraId="5C036BB1">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稀释剂</w:t>
                  </w:r>
                </w:p>
              </w:tc>
              <w:tc>
                <w:tcPr>
                  <w:tcW w:w="750" w:type="dxa"/>
                  <w:vAlign w:val="center"/>
                </w:tcPr>
                <w:p w14:paraId="0A47503A">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1.2</w:t>
                  </w:r>
                </w:p>
              </w:tc>
              <w:tc>
                <w:tcPr>
                  <w:tcW w:w="873" w:type="dxa"/>
                  <w:vAlign w:val="center"/>
                </w:tcPr>
                <w:p w14:paraId="6CDD7C4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w:t>
                  </w:r>
                </w:p>
              </w:tc>
              <w:tc>
                <w:tcPr>
                  <w:tcW w:w="982" w:type="dxa"/>
                  <w:vAlign w:val="center"/>
                </w:tcPr>
                <w:p w14:paraId="07F50337">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w:t>
                  </w:r>
                </w:p>
              </w:tc>
              <w:tc>
                <w:tcPr>
                  <w:tcW w:w="859" w:type="dxa"/>
                  <w:vAlign w:val="center"/>
                </w:tcPr>
                <w:p w14:paraId="5D89059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100</w:t>
                  </w:r>
                </w:p>
              </w:tc>
              <w:tc>
                <w:tcPr>
                  <w:tcW w:w="1077" w:type="dxa"/>
                  <w:vAlign w:val="center"/>
                </w:tcPr>
                <w:p w14:paraId="6CA90716">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85%</w:t>
                  </w:r>
                </w:p>
              </w:tc>
              <w:tc>
                <w:tcPr>
                  <w:tcW w:w="982" w:type="dxa"/>
                  <w:vAlign w:val="center"/>
                </w:tcPr>
                <w:p w14:paraId="2B81D9E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1.02</w:t>
                  </w:r>
                </w:p>
              </w:tc>
              <w:tc>
                <w:tcPr>
                  <w:tcW w:w="1050" w:type="dxa"/>
                  <w:vAlign w:val="center"/>
                </w:tcPr>
                <w:p w14:paraId="2F90E642">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15%</w:t>
                  </w:r>
                </w:p>
              </w:tc>
              <w:tc>
                <w:tcPr>
                  <w:tcW w:w="1052" w:type="dxa"/>
                  <w:vAlign w:val="center"/>
                </w:tcPr>
                <w:p w14:paraId="64DE311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0.18</w:t>
                  </w:r>
                </w:p>
              </w:tc>
            </w:tr>
            <w:tr w14:paraId="1C684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3" w:type="dxa"/>
                  <w:vAlign w:val="center"/>
                </w:tcPr>
                <w:p w14:paraId="0414B602">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合计</w:t>
                  </w:r>
                </w:p>
              </w:tc>
              <w:tc>
                <w:tcPr>
                  <w:tcW w:w="750" w:type="dxa"/>
                  <w:vAlign w:val="center"/>
                </w:tcPr>
                <w:p w14:paraId="2997264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5.85</w:t>
                  </w:r>
                </w:p>
              </w:tc>
              <w:tc>
                <w:tcPr>
                  <w:tcW w:w="873" w:type="dxa"/>
                  <w:vAlign w:val="center"/>
                </w:tcPr>
                <w:p w14:paraId="26A4F499">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982" w:type="dxa"/>
                  <w:vAlign w:val="center"/>
                </w:tcPr>
                <w:p w14:paraId="214853E5">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2.46</w:t>
                  </w:r>
                </w:p>
              </w:tc>
              <w:tc>
                <w:tcPr>
                  <w:tcW w:w="859" w:type="dxa"/>
                  <w:vAlign w:val="center"/>
                </w:tcPr>
                <w:p w14:paraId="6EC7488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w:t>
                  </w:r>
                </w:p>
              </w:tc>
              <w:tc>
                <w:tcPr>
                  <w:tcW w:w="1077" w:type="dxa"/>
                  <w:vAlign w:val="center"/>
                </w:tcPr>
                <w:p w14:paraId="6E35BF00">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982" w:type="dxa"/>
                  <w:vAlign w:val="center"/>
                </w:tcPr>
                <w:p w14:paraId="1EED551E">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2.813</w:t>
                  </w:r>
                </w:p>
              </w:tc>
              <w:tc>
                <w:tcPr>
                  <w:tcW w:w="1050" w:type="dxa"/>
                  <w:vAlign w:val="center"/>
                </w:tcPr>
                <w:p w14:paraId="11E72BF4">
                  <w:pPr>
                    <w:jc w:val="center"/>
                    <w:rPr>
                      <w:rFonts w:hint="default" w:ascii="Times New Roman" w:hAnsi="Times New Roman" w:cs="Times New Roman"/>
                      <w:color w:val="000000" w:themeColor="text1"/>
                      <w:szCs w:val="21"/>
                      <w:highlight w:val="none"/>
                      <w:u w:val="single"/>
                      <w14:textFill>
                        <w14:solidFill>
                          <w14:schemeClr w14:val="tx1"/>
                        </w14:solidFill>
                      </w14:textFill>
                    </w:rPr>
                  </w:pPr>
                </w:p>
              </w:tc>
              <w:tc>
                <w:tcPr>
                  <w:tcW w:w="1052" w:type="dxa"/>
                  <w:vAlign w:val="center"/>
                </w:tcPr>
                <w:p w14:paraId="6C8DF120">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0.577</w:t>
                  </w:r>
                </w:p>
              </w:tc>
            </w:tr>
          </w:tbl>
          <w:p w14:paraId="68BA5F0E">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其中，挥发组分中喷漆与烘干占比为8:2。</w:t>
            </w:r>
          </w:p>
          <w:p w14:paraId="50DD90F9">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A、漆雾</w:t>
            </w:r>
          </w:p>
          <w:p w14:paraId="5F0F8815">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喷漆漆雾主要来源于喷漆房（底漆房、面漆房），喷漆采用压缩空气喷涂，附着在工件上的漆占总用漆量的比例。根据本项目喷涂工艺和喷枪经销商提供的技术参数，同时查阅相关文献资料（《谈喷涂涂着效率》王锡春，《现代涂料与涂装》2006.10），确定本项目上漆率≥70%，即有漆中固形物的 70%被产品附着，10%形成漆渣，剩余20%形成漆雾。挥发性有机物全部挥发形成有机废气。项目所用涂料中的固体份总量为2.46t/a，即漆雾的产生量约为 0.492t/a。</w:t>
            </w:r>
          </w:p>
          <w:p w14:paraId="71E46F7C">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B、有机废气、二甲苯</w:t>
            </w:r>
          </w:p>
          <w:p w14:paraId="6395CA6D">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项目所用涂料中的有机废气、二甲苯的产生量分别为2.813t/a、0.577t/a。废气（有机废气、二甲苯）通过密闭车间内密闭喷漆房进行收集。根据《简明通风设计手册》（中国建筑工业出版社）内容可知，当车间送风量小于排放量，且一般送风量为排风量的80%~90%时，车间达到为负压状态。通过设计风机抽送风量，使项目车间的抽风量大于送风量，在做好整体密闭的同时，车间呈微负压状态，可使废气有效收集。</w:t>
            </w:r>
          </w:p>
          <w:p w14:paraId="0483A479">
            <w:pPr>
              <w:spacing w:line="360" w:lineRule="auto"/>
              <w:ind w:firstLine="482"/>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②改扩建工程油漆废气污染物</w:t>
            </w:r>
          </w:p>
          <w:p w14:paraId="49496683">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根据前章项目油漆用量核算，</w:t>
            </w:r>
            <w:r>
              <w:rPr>
                <w:rFonts w:hint="default" w:ascii="Times New Roman" w:hAnsi="Times New Roman" w:cs="Times New Roman"/>
                <w:color w:val="000000" w:themeColor="text1"/>
                <w:sz w:val="24"/>
                <w:highlight w:val="none"/>
                <w14:textFill>
                  <w14:solidFill>
                    <w14:schemeClr w14:val="tx1"/>
                  </w14:solidFill>
                </w14:textFill>
              </w:rPr>
              <w:t>改扩</w:t>
            </w:r>
            <w:r>
              <w:rPr>
                <w:rFonts w:hint="default" w:ascii="Times New Roman" w:hAnsi="Times New Roman" w:cs="Times New Roman"/>
                <w:color w:val="000000" w:themeColor="text1"/>
                <w:sz w:val="24"/>
                <w:highlight w:val="none"/>
                <w14:textFill>
                  <w14:solidFill>
                    <w14:schemeClr w14:val="tx1"/>
                  </w14:solidFill>
                </w14:textFill>
              </w:rPr>
              <w:t>项目油性油漆使用量为</w:t>
            </w:r>
            <w:r>
              <w:rPr>
                <w:rFonts w:hint="default" w:ascii="Times New Roman" w:hAnsi="Times New Roman" w:eastAsia="等线" w:cs="Times New Roman"/>
                <w:color w:val="000000" w:themeColor="text1"/>
                <w:sz w:val="24"/>
                <w:highlight w:val="none"/>
                <w14:textFill>
                  <w14:solidFill>
                    <w14:schemeClr w14:val="tx1"/>
                  </w14:solidFill>
                </w14:textFill>
              </w:rPr>
              <w:t>3.807</w:t>
            </w:r>
            <w:r>
              <w:rPr>
                <w:rFonts w:hint="default" w:ascii="Times New Roman" w:hAnsi="Times New Roman" w:cs="Times New Roman"/>
                <w:color w:val="000000" w:themeColor="text1"/>
                <w:sz w:val="24"/>
                <w:highlight w:val="none"/>
                <w14:textFill>
                  <w14:solidFill>
                    <w14:schemeClr w14:val="tx1"/>
                  </w14:solidFill>
                </w14:textFill>
              </w:rPr>
              <w:t>t/a，喷枪清洗采用聚氨酯稀释剂约0.03t/a，根据业主提供的原辅料MSDS成分分析报告统计结果见前章，挥发性有机物成分占比核算见</w:t>
            </w:r>
            <w:r>
              <w:rPr>
                <w:rFonts w:hint="default" w:ascii="Times New Roman" w:hAnsi="Times New Roman" w:cs="Times New Roman"/>
                <w:color w:val="000000" w:themeColor="text1"/>
                <w:sz w:val="24"/>
                <w:highlight w:val="none"/>
                <w14:textFill>
                  <w14:solidFill>
                    <w14:schemeClr w14:val="tx1"/>
                  </w14:solidFill>
                </w14:textFill>
              </w:rPr>
              <w:t>下</w:t>
            </w:r>
            <w:r>
              <w:rPr>
                <w:rFonts w:hint="default" w:ascii="Times New Roman" w:hAnsi="Times New Roman" w:cs="Times New Roman"/>
                <w:color w:val="000000" w:themeColor="text1"/>
                <w:sz w:val="24"/>
                <w:highlight w:val="none"/>
                <w14:textFill>
                  <w14:solidFill>
                    <w14:schemeClr w14:val="tx1"/>
                  </w14:solidFill>
                </w14:textFill>
              </w:rPr>
              <w:t>表。</w:t>
            </w:r>
          </w:p>
          <w:p w14:paraId="1FEE7E0B">
            <w:pPr>
              <w:widowControl/>
              <w:adjustRightInd w:val="0"/>
              <w:snapToGrid w:val="0"/>
              <w:jc w:val="cente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w:t>
            </w:r>
            <w:r>
              <w:rPr>
                <w:rFonts w:hint="default" w:ascii="Times New Roman" w:hAnsi="Times New Roman" w:eastAsia="黑体" w:cs="Times New Roman"/>
                <w:b/>
                <w:bCs/>
                <w:color w:val="000000" w:themeColor="text1"/>
                <w:highlight w:val="none"/>
                <w14:textFill>
                  <w14:solidFill>
                    <w14:schemeClr w14:val="tx1"/>
                  </w14:solidFill>
                </w14:textFill>
              </w:rPr>
              <w:t>10</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项目各油漆组份含量一览表</w:t>
            </w:r>
          </w:p>
          <w:tbl>
            <w:tblPr>
              <w:tblStyle w:val="34"/>
              <w:tblW w:w="852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2"/>
              <w:gridCol w:w="428"/>
              <w:gridCol w:w="2225"/>
              <w:gridCol w:w="867"/>
              <w:gridCol w:w="1009"/>
              <w:gridCol w:w="1010"/>
              <w:gridCol w:w="914"/>
              <w:gridCol w:w="896"/>
            </w:tblGrid>
            <w:tr w14:paraId="58A17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trPr>
              <w:tc>
                <w:tcPr>
                  <w:tcW w:w="1172" w:type="dxa"/>
                  <w:vMerge w:val="restart"/>
                  <w:vAlign w:val="center"/>
                </w:tcPr>
                <w:p w14:paraId="1B66264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生产环节</w:t>
                  </w:r>
                </w:p>
              </w:tc>
              <w:tc>
                <w:tcPr>
                  <w:tcW w:w="2653" w:type="dxa"/>
                  <w:gridSpan w:val="2"/>
                  <w:vMerge w:val="restart"/>
                  <w:vAlign w:val="center"/>
                </w:tcPr>
                <w:p w14:paraId="38D7CAD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物料</w:t>
                  </w:r>
                </w:p>
              </w:tc>
              <w:tc>
                <w:tcPr>
                  <w:tcW w:w="867" w:type="dxa"/>
                  <w:vMerge w:val="restart"/>
                  <w:vAlign w:val="center"/>
                </w:tcPr>
                <w:p w14:paraId="498E3BE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用量</w:t>
                  </w:r>
                </w:p>
                <w:p w14:paraId="709DE36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2019" w:type="dxa"/>
                  <w:gridSpan w:val="2"/>
                  <w:vAlign w:val="center"/>
                </w:tcPr>
                <w:p w14:paraId="742A3E0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固体份</w:t>
                  </w:r>
                </w:p>
              </w:tc>
              <w:tc>
                <w:tcPr>
                  <w:tcW w:w="1810" w:type="dxa"/>
                  <w:gridSpan w:val="2"/>
                  <w:vAlign w:val="center"/>
                </w:tcPr>
                <w:p w14:paraId="139BBCA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挥发份</w:t>
                  </w:r>
                </w:p>
              </w:tc>
            </w:tr>
            <w:tr w14:paraId="724B17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blHeader/>
              </w:trPr>
              <w:tc>
                <w:tcPr>
                  <w:tcW w:w="1172" w:type="dxa"/>
                  <w:vMerge w:val="continue"/>
                  <w:vAlign w:val="center"/>
                </w:tcPr>
                <w:p w14:paraId="45A944F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653" w:type="dxa"/>
                  <w:gridSpan w:val="2"/>
                  <w:vMerge w:val="continue"/>
                  <w:vAlign w:val="center"/>
                </w:tcPr>
                <w:p w14:paraId="09C8616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867" w:type="dxa"/>
                  <w:vMerge w:val="continue"/>
                  <w:vAlign w:val="center"/>
                </w:tcPr>
                <w:p w14:paraId="674E38F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1009" w:type="dxa"/>
                  <w:vAlign w:val="center"/>
                </w:tcPr>
                <w:p w14:paraId="3EEC0F3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占比（%）</w:t>
                  </w:r>
                </w:p>
              </w:tc>
              <w:tc>
                <w:tcPr>
                  <w:tcW w:w="1010" w:type="dxa"/>
                  <w:vAlign w:val="center"/>
                </w:tcPr>
                <w:p w14:paraId="011035E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含量（t/a）</w:t>
                  </w:r>
                </w:p>
              </w:tc>
              <w:tc>
                <w:tcPr>
                  <w:tcW w:w="914" w:type="dxa"/>
                  <w:vAlign w:val="center"/>
                </w:tcPr>
                <w:p w14:paraId="65F19E7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占比（%）</w:t>
                  </w:r>
                </w:p>
              </w:tc>
              <w:tc>
                <w:tcPr>
                  <w:tcW w:w="896" w:type="dxa"/>
                  <w:vAlign w:val="center"/>
                </w:tcPr>
                <w:p w14:paraId="0159EFA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含量（t/a）</w:t>
                  </w:r>
                </w:p>
              </w:tc>
            </w:tr>
            <w:tr w14:paraId="6D6DF3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restart"/>
                  <w:vAlign w:val="center"/>
                </w:tcPr>
                <w:p w14:paraId="45CEC14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设备结构件喷漆及烘干线</w:t>
                  </w:r>
                </w:p>
              </w:tc>
              <w:tc>
                <w:tcPr>
                  <w:tcW w:w="428" w:type="dxa"/>
                  <w:vMerge w:val="restart"/>
                  <w:tcBorders>
                    <w:right w:val="single" w:color="auto" w:sz="4" w:space="0"/>
                  </w:tcBorders>
                  <w:vAlign w:val="center"/>
                </w:tcPr>
                <w:p w14:paraId="27D9E94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用漆量</w:t>
                  </w:r>
                </w:p>
              </w:tc>
              <w:tc>
                <w:tcPr>
                  <w:tcW w:w="2225" w:type="dxa"/>
                  <w:tcBorders>
                    <w:left w:val="single" w:color="auto" w:sz="4" w:space="0"/>
                  </w:tcBorders>
                  <w:vAlign w:val="center"/>
                </w:tcPr>
                <w:p w14:paraId="6DD842B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灰色环氧底漆</w:t>
                  </w:r>
                </w:p>
              </w:tc>
              <w:tc>
                <w:tcPr>
                  <w:tcW w:w="867" w:type="dxa"/>
                  <w:vAlign w:val="center"/>
                </w:tcPr>
                <w:p w14:paraId="1C84E145">
                  <w:pPr>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2.118</w:t>
                  </w:r>
                </w:p>
              </w:tc>
              <w:tc>
                <w:tcPr>
                  <w:tcW w:w="1009" w:type="dxa"/>
                  <w:vAlign w:val="center"/>
                </w:tcPr>
                <w:p w14:paraId="30C2C5BF">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72.3</w:t>
                  </w:r>
                </w:p>
              </w:tc>
              <w:tc>
                <w:tcPr>
                  <w:tcW w:w="1010" w:type="dxa"/>
                  <w:vAlign w:val="center"/>
                </w:tcPr>
                <w:p w14:paraId="3B28F446">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1.531</w:t>
                  </w:r>
                </w:p>
              </w:tc>
              <w:tc>
                <w:tcPr>
                  <w:tcW w:w="914" w:type="dxa"/>
                  <w:vAlign w:val="center"/>
                </w:tcPr>
                <w:p w14:paraId="2D2FEAA3">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27.7</w:t>
                  </w:r>
                </w:p>
              </w:tc>
              <w:tc>
                <w:tcPr>
                  <w:tcW w:w="896" w:type="dxa"/>
                  <w:vAlign w:val="center"/>
                </w:tcPr>
                <w:p w14:paraId="22493473">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0.587</w:t>
                  </w:r>
                </w:p>
              </w:tc>
            </w:tr>
            <w:tr w14:paraId="5FF4FF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2E1C7EE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8" w:type="dxa"/>
                  <w:vMerge w:val="continue"/>
                  <w:tcBorders>
                    <w:right w:val="single" w:color="auto" w:sz="4" w:space="0"/>
                  </w:tcBorders>
                  <w:vAlign w:val="center"/>
                </w:tcPr>
                <w:p w14:paraId="163E714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p>
              </w:tc>
              <w:tc>
                <w:tcPr>
                  <w:tcW w:w="2225" w:type="dxa"/>
                  <w:tcBorders>
                    <w:left w:val="single" w:color="auto" w:sz="4" w:space="0"/>
                  </w:tcBorders>
                  <w:vAlign w:val="center"/>
                </w:tcPr>
                <w:p w14:paraId="748BFA6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环氧快干固化</w:t>
                  </w:r>
                </w:p>
              </w:tc>
              <w:tc>
                <w:tcPr>
                  <w:tcW w:w="867" w:type="dxa"/>
                  <w:vAlign w:val="center"/>
                </w:tcPr>
                <w:p w14:paraId="3911D37A">
                  <w:pPr>
                    <w:adjustRightInd w:val="0"/>
                    <w:snapToGrid w:val="0"/>
                    <w:ind w:left="62"/>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0.221</w:t>
                  </w:r>
                </w:p>
              </w:tc>
              <w:tc>
                <w:tcPr>
                  <w:tcW w:w="1009" w:type="dxa"/>
                  <w:vAlign w:val="center"/>
                </w:tcPr>
                <w:p w14:paraId="7BEAC09D">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60.1</w:t>
                  </w:r>
                </w:p>
              </w:tc>
              <w:tc>
                <w:tcPr>
                  <w:tcW w:w="1010" w:type="dxa"/>
                  <w:vAlign w:val="center"/>
                </w:tcPr>
                <w:p w14:paraId="77EC4A4E">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0.133</w:t>
                  </w:r>
                </w:p>
              </w:tc>
              <w:tc>
                <w:tcPr>
                  <w:tcW w:w="914" w:type="dxa"/>
                  <w:vAlign w:val="center"/>
                </w:tcPr>
                <w:p w14:paraId="3EEB9B8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39.9</w:t>
                  </w:r>
                </w:p>
              </w:tc>
              <w:tc>
                <w:tcPr>
                  <w:tcW w:w="896" w:type="dxa"/>
                  <w:vAlign w:val="center"/>
                </w:tcPr>
                <w:p w14:paraId="6FBA7A5C">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0.088</w:t>
                  </w:r>
                </w:p>
              </w:tc>
            </w:tr>
            <w:tr w14:paraId="626224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550CEAA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8" w:type="dxa"/>
                  <w:vMerge w:val="continue"/>
                  <w:tcBorders>
                    <w:right w:val="single" w:color="auto" w:sz="4" w:space="0"/>
                  </w:tcBorders>
                  <w:vAlign w:val="center"/>
                </w:tcPr>
                <w:p w14:paraId="6B937B9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p>
              </w:tc>
              <w:tc>
                <w:tcPr>
                  <w:tcW w:w="2225" w:type="dxa"/>
                  <w:tcBorders>
                    <w:left w:val="single" w:color="auto" w:sz="4" w:space="0"/>
                  </w:tcBorders>
                  <w:vAlign w:val="center"/>
                </w:tcPr>
                <w:p w14:paraId="13F8FEB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夏用环氧稀释剂</w:t>
                  </w:r>
                </w:p>
              </w:tc>
              <w:tc>
                <w:tcPr>
                  <w:tcW w:w="867" w:type="dxa"/>
                  <w:vAlign w:val="center"/>
                </w:tcPr>
                <w:p w14:paraId="524F6DA5">
                  <w:pPr>
                    <w:adjustRightInd w:val="0"/>
                    <w:snapToGrid w:val="0"/>
                    <w:ind w:left="62"/>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0.092</w:t>
                  </w:r>
                </w:p>
              </w:tc>
              <w:tc>
                <w:tcPr>
                  <w:tcW w:w="1009" w:type="dxa"/>
                  <w:vAlign w:val="center"/>
                </w:tcPr>
                <w:p w14:paraId="4C2E2643">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1010" w:type="dxa"/>
                  <w:vAlign w:val="center"/>
                </w:tcPr>
                <w:p w14:paraId="217EB195">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w:t>
                  </w:r>
                </w:p>
              </w:tc>
              <w:tc>
                <w:tcPr>
                  <w:tcW w:w="914" w:type="dxa"/>
                  <w:vAlign w:val="center"/>
                </w:tcPr>
                <w:p w14:paraId="146F616C">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100</w:t>
                  </w:r>
                </w:p>
              </w:tc>
              <w:tc>
                <w:tcPr>
                  <w:tcW w:w="896" w:type="dxa"/>
                  <w:vAlign w:val="center"/>
                </w:tcPr>
                <w:p w14:paraId="0FF919DE">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0.092</w:t>
                  </w:r>
                </w:p>
              </w:tc>
            </w:tr>
            <w:tr w14:paraId="27BC32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6A2D8D4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8" w:type="dxa"/>
                  <w:vMerge w:val="continue"/>
                  <w:tcBorders>
                    <w:right w:val="single" w:color="auto" w:sz="4" w:space="0"/>
                  </w:tcBorders>
                  <w:vAlign w:val="center"/>
                </w:tcPr>
                <w:p w14:paraId="70929A5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p>
              </w:tc>
              <w:tc>
                <w:tcPr>
                  <w:tcW w:w="2225" w:type="dxa"/>
                  <w:tcBorders>
                    <w:left w:val="single" w:color="auto" w:sz="4" w:space="0"/>
                  </w:tcBorders>
                  <w:vAlign w:val="center"/>
                </w:tcPr>
                <w:p w14:paraId="4337CD8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黄色聚氨酯面漆</w:t>
                  </w:r>
                </w:p>
              </w:tc>
              <w:tc>
                <w:tcPr>
                  <w:tcW w:w="867" w:type="dxa"/>
                  <w:vAlign w:val="center"/>
                </w:tcPr>
                <w:p w14:paraId="4ED395DE">
                  <w:pPr>
                    <w:adjustRightInd w:val="0"/>
                    <w:snapToGrid w:val="0"/>
                    <w:ind w:left="62"/>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1.085</w:t>
                  </w:r>
                </w:p>
              </w:tc>
              <w:tc>
                <w:tcPr>
                  <w:tcW w:w="1009" w:type="dxa"/>
                  <w:vAlign w:val="center"/>
                </w:tcPr>
                <w:p w14:paraId="262954D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72.6</w:t>
                  </w:r>
                </w:p>
              </w:tc>
              <w:tc>
                <w:tcPr>
                  <w:tcW w:w="1010" w:type="dxa"/>
                  <w:vAlign w:val="center"/>
                </w:tcPr>
                <w:p w14:paraId="1AA8AB3A">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0.787</w:t>
                  </w:r>
                </w:p>
              </w:tc>
              <w:tc>
                <w:tcPr>
                  <w:tcW w:w="914" w:type="dxa"/>
                  <w:vAlign w:val="center"/>
                </w:tcPr>
                <w:p w14:paraId="53BD91DB">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27.4</w:t>
                  </w:r>
                </w:p>
              </w:tc>
              <w:tc>
                <w:tcPr>
                  <w:tcW w:w="896" w:type="dxa"/>
                  <w:vAlign w:val="center"/>
                </w:tcPr>
                <w:p w14:paraId="2A916AD5">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0.297</w:t>
                  </w:r>
                </w:p>
              </w:tc>
            </w:tr>
            <w:tr w14:paraId="513A6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79FA040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8" w:type="dxa"/>
                  <w:vMerge w:val="continue"/>
                  <w:tcBorders>
                    <w:right w:val="single" w:color="auto" w:sz="4" w:space="0"/>
                  </w:tcBorders>
                  <w:vAlign w:val="center"/>
                </w:tcPr>
                <w:p w14:paraId="077AB77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p>
              </w:tc>
              <w:tc>
                <w:tcPr>
                  <w:tcW w:w="2225" w:type="dxa"/>
                  <w:tcBorders>
                    <w:left w:val="single" w:color="auto" w:sz="4" w:space="0"/>
                  </w:tcBorders>
                  <w:vAlign w:val="center"/>
                </w:tcPr>
                <w:p w14:paraId="09DD78E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聚氨酯固化剂</w:t>
                  </w:r>
                </w:p>
              </w:tc>
              <w:tc>
                <w:tcPr>
                  <w:tcW w:w="867" w:type="dxa"/>
                  <w:vAlign w:val="center"/>
                </w:tcPr>
                <w:p w14:paraId="1073BE2A">
                  <w:pPr>
                    <w:adjustRightInd w:val="0"/>
                    <w:snapToGrid w:val="0"/>
                    <w:ind w:left="62"/>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0.198</w:t>
                  </w:r>
                </w:p>
              </w:tc>
              <w:tc>
                <w:tcPr>
                  <w:tcW w:w="1009" w:type="dxa"/>
                  <w:vAlign w:val="center"/>
                </w:tcPr>
                <w:p w14:paraId="435303FC">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72.4</w:t>
                  </w:r>
                </w:p>
              </w:tc>
              <w:tc>
                <w:tcPr>
                  <w:tcW w:w="1010" w:type="dxa"/>
                  <w:vAlign w:val="center"/>
                </w:tcPr>
                <w:p w14:paraId="62CCB343">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0.143</w:t>
                  </w:r>
                </w:p>
              </w:tc>
              <w:tc>
                <w:tcPr>
                  <w:tcW w:w="914" w:type="dxa"/>
                  <w:vAlign w:val="center"/>
                </w:tcPr>
                <w:p w14:paraId="6205ED93">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28.6</w:t>
                  </w:r>
                </w:p>
              </w:tc>
              <w:tc>
                <w:tcPr>
                  <w:tcW w:w="896" w:type="dxa"/>
                  <w:vAlign w:val="center"/>
                </w:tcPr>
                <w:p w14:paraId="1878113F">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0.056</w:t>
                  </w:r>
                </w:p>
              </w:tc>
            </w:tr>
            <w:tr w14:paraId="31CB44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487AC9F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428" w:type="dxa"/>
                  <w:vMerge w:val="continue"/>
                  <w:tcBorders>
                    <w:right w:val="single" w:color="auto" w:sz="4" w:space="0"/>
                  </w:tcBorders>
                  <w:vAlign w:val="center"/>
                </w:tcPr>
                <w:p w14:paraId="29A3BD1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p>
              </w:tc>
              <w:tc>
                <w:tcPr>
                  <w:tcW w:w="2225" w:type="dxa"/>
                  <w:tcBorders>
                    <w:left w:val="single" w:color="auto" w:sz="4" w:space="0"/>
                  </w:tcBorders>
                  <w:vAlign w:val="center"/>
                </w:tcPr>
                <w:p w14:paraId="0998D39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夏用面漆稀释剂</w:t>
                  </w:r>
                </w:p>
              </w:tc>
              <w:tc>
                <w:tcPr>
                  <w:tcW w:w="867" w:type="dxa"/>
                  <w:vAlign w:val="center"/>
                </w:tcPr>
                <w:p w14:paraId="46FA64AE">
                  <w:pPr>
                    <w:adjustRightInd w:val="0"/>
                    <w:snapToGrid w:val="0"/>
                    <w:ind w:left="62"/>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0.093</w:t>
                  </w:r>
                </w:p>
              </w:tc>
              <w:tc>
                <w:tcPr>
                  <w:tcW w:w="1009" w:type="dxa"/>
                  <w:vAlign w:val="center"/>
                </w:tcPr>
                <w:p w14:paraId="0EF547B9">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1010" w:type="dxa"/>
                  <w:vAlign w:val="center"/>
                </w:tcPr>
                <w:p w14:paraId="72CD35E2">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w:t>
                  </w:r>
                </w:p>
              </w:tc>
              <w:tc>
                <w:tcPr>
                  <w:tcW w:w="914" w:type="dxa"/>
                  <w:vAlign w:val="center"/>
                </w:tcPr>
                <w:p w14:paraId="4599095A">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100</w:t>
                  </w:r>
                </w:p>
              </w:tc>
              <w:tc>
                <w:tcPr>
                  <w:tcW w:w="896" w:type="dxa"/>
                  <w:vAlign w:val="center"/>
                </w:tcPr>
                <w:p w14:paraId="1B088B0D">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0.093</w:t>
                  </w:r>
                </w:p>
              </w:tc>
            </w:tr>
            <w:tr w14:paraId="71B166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5E1ED07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653" w:type="dxa"/>
                  <w:gridSpan w:val="2"/>
                  <w:vAlign w:val="center"/>
                </w:tcPr>
                <w:p w14:paraId="5F3160A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小计</w:t>
                  </w:r>
                </w:p>
              </w:tc>
              <w:tc>
                <w:tcPr>
                  <w:tcW w:w="867" w:type="dxa"/>
                  <w:vAlign w:val="center"/>
                </w:tcPr>
                <w:p w14:paraId="0456535F">
                  <w:pPr>
                    <w:widowControl/>
                    <w:autoSpaceDE w:val="0"/>
                    <w:autoSpaceDN w:val="0"/>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3.807</w:t>
                  </w:r>
                </w:p>
              </w:tc>
              <w:tc>
                <w:tcPr>
                  <w:tcW w:w="1009" w:type="dxa"/>
                  <w:vAlign w:val="center"/>
                </w:tcPr>
                <w:p w14:paraId="7EC90F6B">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1010" w:type="dxa"/>
                  <w:vAlign w:val="center"/>
                </w:tcPr>
                <w:p w14:paraId="026166A6">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2.594</w:t>
                  </w:r>
                </w:p>
              </w:tc>
              <w:tc>
                <w:tcPr>
                  <w:tcW w:w="914" w:type="dxa"/>
                  <w:vAlign w:val="center"/>
                </w:tcPr>
                <w:p w14:paraId="6DAB9BA2">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896" w:type="dxa"/>
                  <w:vAlign w:val="center"/>
                </w:tcPr>
                <w:p w14:paraId="6B7E91EF">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1.213</w:t>
                  </w:r>
                </w:p>
              </w:tc>
            </w:tr>
            <w:tr w14:paraId="50CFE2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172" w:type="dxa"/>
                  <w:vMerge w:val="continue"/>
                  <w:vAlign w:val="center"/>
                </w:tcPr>
                <w:p w14:paraId="3DC74C1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653" w:type="dxa"/>
                  <w:gridSpan w:val="2"/>
                  <w:vAlign w:val="center"/>
                </w:tcPr>
                <w:p w14:paraId="21C024F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聚氨酯稀释剂（喷枪清洗）</w:t>
                  </w:r>
                </w:p>
              </w:tc>
              <w:tc>
                <w:tcPr>
                  <w:tcW w:w="867" w:type="dxa"/>
                  <w:vAlign w:val="center"/>
                </w:tcPr>
                <w:p w14:paraId="6357F50B">
                  <w:pPr>
                    <w:widowControl/>
                    <w:autoSpaceDE w:val="0"/>
                    <w:autoSpaceDN w:val="0"/>
                    <w:adjustRightInd w:val="0"/>
                    <w:snapToGrid w:val="0"/>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0.03</w:t>
                  </w:r>
                </w:p>
              </w:tc>
              <w:tc>
                <w:tcPr>
                  <w:tcW w:w="1009" w:type="dxa"/>
                  <w:vAlign w:val="center"/>
                </w:tcPr>
                <w:p w14:paraId="40609FDB">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1010" w:type="dxa"/>
                  <w:vAlign w:val="center"/>
                </w:tcPr>
                <w:p w14:paraId="55E16DDF">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914" w:type="dxa"/>
                  <w:vAlign w:val="center"/>
                </w:tcPr>
                <w:p w14:paraId="4440F1A2">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100</w:t>
                  </w:r>
                </w:p>
              </w:tc>
              <w:tc>
                <w:tcPr>
                  <w:tcW w:w="896" w:type="dxa"/>
                  <w:vAlign w:val="center"/>
                </w:tcPr>
                <w:p w14:paraId="0A82A3BB">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0.03</w:t>
                  </w:r>
                </w:p>
              </w:tc>
            </w:tr>
            <w:tr w14:paraId="64563F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3825" w:type="dxa"/>
                  <w:gridSpan w:val="3"/>
                  <w:vAlign w:val="center"/>
                </w:tcPr>
                <w:p w14:paraId="5224966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总计</w:t>
                  </w:r>
                </w:p>
              </w:tc>
              <w:tc>
                <w:tcPr>
                  <w:tcW w:w="867" w:type="dxa"/>
                  <w:vAlign w:val="center"/>
                </w:tcPr>
                <w:p w14:paraId="60AA3D16">
                  <w:pPr>
                    <w:widowControl/>
                    <w:autoSpaceDE w:val="0"/>
                    <w:autoSpaceDN w:val="0"/>
                    <w:adjustRightInd w:val="0"/>
                    <w:snapToGrid w:val="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3.837</w:t>
                  </w:r>
                </w:p>
              </w:tc>
              <w:tc>
                <w:tcPr>
                  <w:tcW w:w="1009" w:type="dxa"/>
                  <w:vAlign w:val="center"/>
                </w:tcPr>
                <w:p w14:paraId="7DF66F1F">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1010" w:type="dxa"/>
                  <w:vAlign w:val="center"/>
                </w:tcPr>
                <w:p w14:paraId="7211FB4F">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2.594</w:t>
                  </w:r>
                </w:p>
              </w:tc>
              <w:tc>
                <w:tcPr>
                  <w:tcW w:w="914" w:type="dxa"/>
                  <w:vAlign w:val="center"/>
                </w:tcPr>
                <w:p w14:paraId="36E2FA10">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896" w:type="dxa"/>
                  <w:vAlign w:val="center"/>
                </w:tcPr>
                <w:p w14:paraId="3CA01519">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1.243</w:t>
                  </w:r>
                </w:p>
              </w:tc>
            </w:tr>
          </w:tbl>
          <w:p w14:paraId="5BCABAF7">
            <w:pPr>
              <w:widowControl/>
              <w:adjustRightInd w:val="0"/>
              <w:snapToGrid w:val="0"/>
              <w:jc w:val="center"/>
              <w:rPr>
                <w:rFonts w:hint="default" w:ascii="Times New Roman" w:hAnsi="Times New Roman" w:eastAsia="黑体" w:cs="Times New Roman"/>
                <w:b/>
                <w:bCs/>
                <w:color w:val="000000" w:themeColor="text1"/>
                <w:highlight w:val="none"/>
                <w14:textFill>
                  <w14:solidFill>
                    <w14:schemeClr w14:val="tx1"/>
                  </w14:solidFill>
                </w14:textFill>
              </w:rPr>
            </w:pPr>
          </w:p>
          <w:p w14:paraId="0B737531">
            <w:pP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br w:type="page"/>
            </w:r>
          </w:p>
          <w:p w14:paraId="67639C02">
            <w:pPr>
              <w:widowControl/>
              <w:adjustRightInd w:val="0"/>
              <w:snapToGrid w:val="0"/>
              <w:jc w:val="cente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表4-1</w:t>
            </w:r>
            <w:r>
              <w:rPr>
                <w:rFonts w:hint="default" w:ascii="Times New Roman" w:hAnsi="Times New Roman" w:eastAsia="黑体" w:cs="Times New Roman"/>
                <w:b/>
                <w:bCs/>
                <w:color w:val="000000" w:themeColor="text1"/>
                <w:highlight w:val="none"/>
                <w14:textFill>
                  <w14:solidFill>
                    <w14:schemeClr w14:val="tx1"/>
                  </w14:solidFill>
                </w14:textFill>
              </w:rPr>
              <w:t>1</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项目挥发性有机物成分占比核算表</w:t>
            </w:r>
          </w:p>
          <w:tbl>
            <w:tblPr>
              <w:tblStyle w:val="9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
              <w:gridCol w:w="504"/>
              <w:gridCol w:w="2614"/>
              <w:gridCol w:w="875"/>
              <w:gridCol w:w="794"/>
              <w:gridCol w:w="875"/>
              <w:gridCol w:w="911"/>
              <w:gridCol w:w="958"/>
            </w:tblGrid>
            <w:tr w14:paraId="67D24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restart"/>
                  <w:vAlign w:val="center"/>
                </w:tcPr>
                <w:p w14:paraId="7364F64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生产环节</w:t>
                  </w:r>
                </w:p>
              </w:tc>
              <w:tc>
                <w:tcPr>
                  <w:tcW w:w="1840" w:type="pct"/>
                  <w:gridSpan w:val="2"/>
                  <w:vMerge w:val="restart"/>
                  <w:vAlign w:val="center"/>
                </w:tcPr>
                <w:p w14:paraId="0349F8A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物料</w:t>
                  </w:r>
                </w:p>
              </w:tc>
              <w:tc>
                <w:tcPr>
                  <w:tcW w:w="517" w:type="pct"/>
                  <w:vMerge w:val="restart"/>
                  <w:vAlign w:val="center"/>
                </w:tcPr>
                <w:p w14:paraId="47D53BA5">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漆量</w:t>
                  </w:r>
                </w:p>
                <w:p w14:paraId="5A5DF10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986" w:type="pct"/>
                  <w:gridSpan w:val="2"/>
                  <w:vAlign w:val="center"/>
                </w:tcPr>
                <w:p w14:paraId="60F459FB">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二甲苯</w:t>
                  </w:r>
                </w:p>
              </w:tc>
              <w:tc>
                <w:tcPr>
                  <w:tcW w:w="1104" w:type="pct"/>
                  <w:gridSpan w:val="2"/>
                  <w:vAlign w:val="center"/>
                </w:tcPr>
                <w:p w14:paraId="192CD41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其他挥发性有机物</w:t>
                  </w:r>
                </w:p>
              </w:tc>
            </w:tr>
            <w:tr w14:paraId="4C66B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08CFD7C8">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40" w:type="pct"/>
                  <w:gridSpan w:val="2"/>
                  <w:vMerge w:val="continue"/>
                  <w:vAlign w:val="center"/>
                </w:tcPr>
                <w:p w14:paraId="2895BD9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17" w:type="pct"/>
                  <w:vMerge w:val="continue"/>
                  <w:vAlign w:val="center"/>
                </w:tcPr>
                <w:p w14:paraId="1398257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469" w:type="pct"/>
                  <w:vAlign w:val="center"/>
                </w:tcPr>
                <w:p w14:paraId="4EE17874">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占比</w:t>
                  </w:r>
                </w:p>
                <w:p w14:paraId="3AD6E58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516" w:type="pct"/>
                  <w:vAlign w:val="center"/>
                </w:tcPr>
                <w:p w14:paraId="612FB797">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含量</w:t>
                  </w:r>
                </w:p>
                <w:p w14:paraId="7EA3165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c>
                <w:tcPr>
                  <w:tcW w:w="538" w:type="pct"/>
                  <w:vAlign w:val="center"/>
                </w:tcPr>
                <w:p w14:paraId="519DC6F3">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占比</w:t>
                  </w:r>
                </w:p>
                <w:p w14:paraId="2CE6381D">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565" w:type="pct"/>
                  <w:vAlign w:val="center"/>
                </w:tcPr>
                <w:p w14:paraId="1703703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含量</w:t>
                  </w:r>
                </w:p>
                <w:p w14:paraId="79F523AE">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t/a</w:t>
                  </w:r>
                </w:p>
              </w:tc>
            </w:tr>
            <w:tr w14:paraId="3A4DD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551" w:type="pct"/>
                  <w:vMerge w:val="restart"/>
                  <w:vAlign w:val="center"/>
                </w:tcPr>
                <w:p w14:paraId="1B7098B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设备结构件喷漆及烘干线</w:t>
                  </w:r>
                </w:p>
              </w:tc>
              <w:tc>
                <w:tcPr>
                  <w:tcW w:w="297" w:type="pct"/>
                  <w:vMerge w:val="restart"/>
                  <w:vAlign w:val="center"/>
                </w:tcPr>
                <w:p w14:paraId="499F4B4B">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用漆量</w:t>
                  </w:r>
                </w:p>
              </w:tc>
              <w:tc>
                <w:tcPr>
                  <w:tcW w:w="1542" w:type="pct"/>
                  <w:vAlign w:val="center"/>
                </w:tcPr>
                <w:p w14:paraId="7F185987">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灰色环氧底漆</w:t>
                  </w:r>
                </w:p>
              </w:tc>
              <w:tc>
                <w:tcPr>
                  <w:tcW w:w="517" w:type="pct"/>
                  <w:vAlign w:val="center"/>
                </w:tcPr>
                <w:p w14:paraId="642F95B7">
                  <w:pPr>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2.118</w:t>
                  </w:r>
                </w:p>
              </w:tc>
              <w:tc>
                <w:tcPr>
                  <w:tcW w:w="784" w:type="dxa"/>
                  <w:vAlign w:val="center"/>
                </w:tcPr>
                <w:p w14:paraId="108F691F">
                  <w:pPr>
                    <w:widowControl/>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6.7</w:t>
                  </w:r>
                </w:p>
              </w:tc>
              <w:tc>
                <w:tcPr>
                  <w:tcW w:w="861" w:type="dxa"/>
                  <w:vAlign w:val="center"/>
                </w:tcPr>
                <w:p w14:paraId="68C0835B">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0.142</w:t>
                  </w:r>
                </w:p>
              </w:tc>
              <w:tc>
                <w:tcPr>
                  <w:tcW w:w="898" w:type="dxa"/>
                  <w:vAlign w:val="center"/>
                </w:tcPr>
                <w:p w14:paraId="3C7C23A2">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21</w:t>
                  </w:r>
                </w:p>
              </w:tc>
              <w:tc>
                <w:tcPr>
                  <w:tcW w:w="944" w:type="dxa"/>
                  <w:vAlign w:val="center"/>
                </w:tcPr>
                <w:p w14:paraId="016FD512">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0.445</w:t>
                  </w:r>
                </w:p>
              </w:tc>
            </w:tr>
            <w:tr w14:paraId="123DC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575119AC">
                  <w:pPr>
                    <w:widowControl/>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97" w:type="pct"/>
                  <w:vMerge w:val="continue"/>
                  <w:vAlign w:val="center"/>
                </w:tcPr>
                <w:p w14:paraId="5D52CE6C">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p>
              </w:tc>
              <w:tc>
                <w:tcPr>
                  <w:tcW w:w="1542" w:type="pct"/>
                  <w:vAlign w:val="center"/>
                </w:tcPr>
                <w:p w14:paraId="4CC5F780">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环氧快干固化</w:t>
                  </w:r>
                </w:p>
              </w:tc>
              <w:tc>
                <w:tcPr>
                  <w:tcW w:w="517" w:type="pct"/>
                  <w:vAlign w:val="center"/>
                </w:tcPr>
                <w:p w14:paraId="61B4C36A">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0.221</w:t>
                  </w:r>
                </w:p>
              </w:tc>
              <w:tc>
                <w:tcPr>
                  <w:tcW w:w="784" w:type="dxa"/>
                  <w:vAlign w:val="center"/>
                </w:tcPr>
                <w:p w14:paraId="6EB99225">
                  <w:pPr>
                    <w:widowControl/>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w:t>
                  </w:r>
                </w:p>
              </w:tc>
              <w:tc>
                <w:tcPr>
                  <w:tcW w:w="861" w:type="dxa"/>
                  <w:vAlign w:val="center"/>
                </w:tcPr>
                <w:p w14:paraId="60289112">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0.002</w:t>
                  </w:r>
                </w:p>
              </w:tc>
              <w:tc>
                <w:tcPr>
                  <w:tcW w:w="898" w:type="dxa"/>
                  <w:vAlign w:val="center"/>
                </w:tcPr>
                <w:p w14:paraId="0F5254A8">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38.9</w:t>
                  </w:r>
                </w:p>
              </w:tc>
              <w:tc>
                <w:tcPr>
                  <w:tcW w:w="944" w:type="dxa"/>
                  <w:vAlign w:val="center"/>
                </w:tcPr>
                <w:p w14:paraId="648660D5">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0.086</w:t>
                  </w:r>
                </w:p>
              </w:tc>
            </w:tr>
            <w:tr w14:paraId="23319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67112C4D">
                  <w:pPr>
                    <w:widowControl/>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97" w:type="pct"/>
                  <w:vMerge w:val="continue"/>
                  <w:vAlign w:val="center"/>
                </w:tcPr>
                <w:p w14:paraId="18DD6835">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p>
              </w:tc>
              <w:tc>
                <w:tcPr>
                  <w:tcW w:w="1542" w:type="pct"/>
                  <w:vAlign w:val="center"/>
                </w:tcPr>
                <w:p w14:paraId="00F371C1">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夏用环氧稀释剂</w:t>
                  </w:r>
                </w:p>
              </w:tc>
              <w:tc>
                <w:tcPr>
                  <w:tcW w:w="517" w:type="pct"/>
                  <w:vAlign w:val="center"/>
                </w:tcPr>
                <w:p w14:paraId="165FAAF2">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0.092</w:t>
                  </w:r>
                </w:p>
              </w:tc>
              <w:tc>
                <w:tcPr>
                  <w:tcW w:w="784" w:type="dxa"/>
                  <w:vAlign w:val="center"/>
                </w:tcPr>
                <w:p w14:paraId="6F2DB15F">
                  <w:pPr>
                    <w:widowControl/>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861" w:type="dxa"/>
                  <w:vAlign w:val="center"/>
                </w:tcPr>
                <w:p w14:paraId="46FA7C57">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w:t>
                  </w:r>
                </w:p>
              </w:tc>
              <w:tc>
                <w:tcPr>
                  <w:tcW w:w="898" w:type="dxa"/>
                  <w:vAlign w:val="center"/>
                </w:tcPr>
                <w:p w14:paraId="1280EA5A">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100</w:t>
                  </w:r>
                </w:p>
              </w:tc>
              <w:tc>
                <w:tcPr>
                  <w:tcW w:w="944" w:type="dxa"/>
                  <w:vAlign w:val="center"/>
                </w:tcPr>
                <w:p w14:paraId="76AB42E1">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0.092</w:t>
                  </w:r>
                </w:p>
              </w:tc>
            </w:tr>
            <w:tr w14:paraId="05B21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4073AB1D">
                  <w:pPr>
                    <w:widowControl/>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97" w:type="pct"/>
                  <w:vMerge w:val="continue"/>
                  <w:vAlign w:val="center"/>
                </w:tcPr>
                <w:p w14:paraId="3078538C">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p>
              </w:tc>
              <w:tc>
                <w:tcPr>
                  <w:tcW w:w="1542" w:type="pct"/>
                  <w:vAlign w:val="center"/>
                </w:tcPr>
                <w:p w14:paraId="1329FDCD">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黄色聚氨酯面漆</w:t>
                  </w:r>
                </w:p>
              </w:tc>
              <w:tc>
                <w:tcPr>
                  <w:tcW w:w="517" w:type="pct"/>
                  <w:vAlign w:val="center"/>
                </w:tcPr>
                <w:p w14:paraId="4CFA5014">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1.085</w:t>
                  </w:r>
                </w:p>
              </w:tc>
              <w:tc>
                <w:tcPr>
                  <w:tcW w:w="784" w:type="dxa"/>
                  <w:vAlign w:val="center"/>
                </w:tcPr>
                <w:p w14:paraId="39DEE85B">
                  <w:pPr>
                    <w:widowControl/>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16</w:t>
                  </w:r>
                </w:p>
              </w:tc>
              <w:tc>
                <w:tcPr>
                  <w:tcW w:w="861" w:type="dxa"/>
                  <w:vAlign w:val="center"/>
                </w:tcPr>
                <w:p w14:paraId="3784C3C6">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0.178</w:t>
                  </w:r>
                </w:p>
              </w:tc>
              <w:tc>
                <w:tcPr>
                  <w:tcW w:w="898" w:type="dxa"/>
                  <w:vAlign w:val="center"/>
                </w:tcPr>
                <w:p w14:paraId="7B575F2A">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17.4</w:t>
                  </w:r>
                </w:p>
              </w:tc>
              <w:tc>
                <w:tcPr>
                  <w:tcW w:w="944" w:type="dxa"/>
                  <w:vAlign w:val="center"/>
                </w:tcPr>
                <w:p w14:paraId="61EABF19">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0.118</w:t>
                  </w:r>
                </w:p>
              </w:tc>
            </w:tr>
            <w:tr w14:paraId="3B95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1B4AB9AE">
                  <w:pPr>
                    <w:widowControl/>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97" w:type="pct"/>
                  <w:vMerge w:val="continue"/>
                  <w:vAlign w:val="center"/>
                </w:tcPr>
                <w:p w14:paraId="1CC20E1F">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p>
              </w:tc>
              <w:tc>
                <w:tcPr>
                  <w:tcW w:w="1542" w:type="pct"/>
                  <w:vAlign w:val="center"/>
                </w:tcPr>
                <w:p w14:paraId="5BA480CB">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聚氨酯固化剂</w:t>
                  </w:r>
                </w:p>
              </w:tc>
              <w:tc>
                <w:tcPr>
                  <w:tcW w:w="517" w:type="pct"/>
                  <w:vAlign w:val="center"/>
                </w:tcPr>
                <w:p w14:paraId="50EDDB2A">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0.198</w:t>
                  </w:r>
                </w:p>
              </w:tc>
              <w:tc>
                <w:tcPr>
                  <w:tcW w:w="784" w:type="dxa"/>
                  <w:vAlign w:val="center"/>
                </w:tcPr>
                <w:p w14:paraId="4FFDB7EB">
                  <w:pPr>
                    <w:widowControl/>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861" w:type="dxa"/>
                  <w:vAlign w:val="center"/>
                </w:tcPr>
                <w:p w14:paraId="53858E2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w:t>
                  </w:r>
                </w:p>
              </w:tc>
              <w:tc>
                <w:tcPr>
                  <w:tcW w:w="898" w:type="dxa"/>
                  <w:vAlign w:val="center"/>
                </w:tcPr>
                <w:p w14:paraId="45AB81E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28.6</w:t>
                  </w:r>
                </w:p>
              </w:tc>
              <w:tc>
                <w:tcPr>
                  <w:tcW w:w="944" w:type="dxa"/>
                  <w:vAlign w:val="center"/>
                </w:tcPr>
                <w:p w14:paraId="5FA4426E">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0.057</w:t>
                  </w:r>
                </w:p>
              </w:tc>
            </w:tr>
            <w:tr w14:paraId="59800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69DB6060">
                  <w:pPr>
                    <w:widowControl/>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97" w:type="pct"/>
                  <w:vMerge w:val="continue"/>
                  <w:vAlign w:val="center"/>
                </w:tcPr>
                <w:p w14:paraId="200D3691">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p>
              </w:tc>
              <w:tc>
                <w:tcPr>
                  <w:tcW w:w="1542" w:type="pct"/>
                  <w:vAlign w:val="center"/>
                </w:tcPr>
                <w:p w14:paraId="35F31D89">
                  <w:pPr>
                    <w:widowControl/>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夏用面漆稀释剂</w:t>
                  </w:r>
                </w:p>
              </w:tc>
              <w:tc>
                <w:tcPr>
                  <w:tcW w:w="517" w:type="pct"/>
                  <w:vAlign w:val="center"/>
                </w:tcPr>
                <w:p w14:paraId="4AC0E7D6">
                  <w:pPr>
                    <w:adjustRightInd w:val="0"/>
                    <w:snapToGrid w:val="0"/>
                    <w:ind w:left="62"/>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0.093</w:t>
                  </w:r>
                </w:p>
              </w:tc>
              <w:tc>
                <w:tcPr>
                  <w:tcW w:w="784" w:type="dxa"/>
                  <w:vAlign w:val="center"/>
                </w:tcPr>
                <w:p w14:paraId="658AD920">
                  <w:pPr>
                    <w:widowControl/>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w:t>
                  </w:r>
                </w:p>
              </w:tc>
              <w:tc>
                <w:tcPr>
                  <w:tcW w:w="861" w:type="dxa"/>
                  <w:vAlign w:val="center"/>
                </w:tcPr>
                <w:p w14:paraId="1AB89F6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w:t>
                  </w:r>
                </w:p>
              </w:tc>
              <w:tc>
                <w:tcPr>
                  <w:tcW w:w="898" w:type="dxa"/>
                  <w:vAlign w:val="center"/>
                </w:tcPr>
                <w:p w14:paraId="37C81925">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100</w:t>
                  </w:r>
                </w:p>
              </w:tc>
              <w:tc>
                <w:tcPr>
                  <w:tcW w:w="944" w:type="dxa"/>
                  <w:vAlign w:val="center"/>
                </w:tcPr>
                <w:p w14:paraId="12797B6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0.093</w:t>
                  </w:r>
                </w:p>
              </w:tc>
            </w:tr>
            <w:tr w14:paraId="7A447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2054EBC4">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40" w:type="pct"/>
                  <w:gridSpan w:val="2"/>
                  <w:vAlign w:val="center"/>
                </w:tcPr>
                <w:p w14:paraId="74E5920C">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小计</w:t>
                  </w:r>
                </w:p>
              </w:tc>
              <w:tc>
                <w:tcPr>
                  <w:tcW w:w="517" w:type="pct"/>
                  <w:vAlign w:val="center"/>
                </w:tcPr>
                <w:p w14:paraId="2620BA04">
                  <w:pPr>
                    <w:widowControl/>
                    <w:autoSpaceDE w:val="0"/>
                    <w:autoSpaceDN w:val="0"/>
                    <w:adjustRightInd w:val="0"/>
                    <w:snapToGrid w:val="0"/>
                    <w:jc w:val="center"/>
                    <w:textAlignment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szCs w:val="21"/>
                      <w:highlight w:val="none"/>
                      <w14:textFill>
                        <w14:solidFill>
                          <w14:schemeClr w14:val="tx1"/>
                        </w14:solidFill>
                      </w14:textFill>
                    </w:rPr>
                    <w:t>3.807</w:t>
                  </w:r>
                </w:p>
              </w:tc>
              <w:tc>
                <w:tcPr>
                  <w:tcW w:w="784" w:type="dxa"/>
                  <w:vAlign w:val="center"/>
                </w:tcPr>
                <w:p w14:paraId="508CF568">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861" w:type="dxa"/>
                  <w:vAlign w:val="center"/>
                </w:tcPr>
                <w:p w14:paraId="4AAF7B56">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0.322</w:t>
                  </w:r>
                </w:p>
              </w:tc>
              <w:tc>
                <w:tcPr>
                  <w:tcW w:w="898" w:type="dxa"/>
                  <w:vAlign w:val="center"/>
                </w:tcPr>
                <w:p w14:paraId="491B62F1">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944" w:type="dxa"/>
                  <w:vAlign w:val="center"/>
                </w:tcPr>
                <w:p w14:paraId="3AAF8314">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0.891</w:t>
                  </w:r>
                </w:p>
              </w:tc>
            </w:tr>
            <w:tr w14:paraId="5AEFF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51" w:type="pct"/>
                  <w:vMerge w:val="continue"/>
                  <w:vAlign w:val="center"/>
                </w:tcPr>
                <w:p w14:paraId="2F178746">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840" w:type="pct"/>
                  <w:gridSpan w:val="2"/>
                  <w:vAlign w:val="center"/>
                </w:tcPr>
                <w:p w14:paraId="34AD5BFA">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聚氨酯稀释剂（喷枪清洗）</w:t>
                  </w:r>
                </w:p>
              </w:tc>
              <w:tc>
                <w:tcPr>
                  <w:tcW w:w="517" w:type="pct"/>
                  <w:vAlign w:val="center"/>
                </w:tcPr>
                <w:p w14:paraId="79AE4D99">
                  <w:pPr>
                    <w:widowControl/>
                    <w:autoSpaceDE w:val="0"/>
                    <w:autoSpaceDN w:val="0"/>
                    <w:adjustRightInd w:val="0"/>
                    <w:snapToGrid w:val="0"/>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0.03</w:t>
                  </w:r>
                </w:p>
              </w:tc>
              <w:tc>
                <w:tcPr>
                  <w:tcW w:w="784" w:type="dxa"/>
                  <w:vAlign w:val="center"/>
                </w:tcPr>
                <w:p w14:paraId="2EE3E73C">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30</w:t>
                  </w:r>
                </w:p>
              </w:tc>
              <w:tc>
                <w:tcPr>
                  <w:tcW w:w="861" w:type="dxa"/>
                  <w:vAlign w:val="center"/>
                </w:tcPr>
                <w:p w14:paraId="782ABDFD">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0.009</w:t>
                  </w:r>
                </w:p>
              </w:tc>
              <w:tc>
                <w:tcPr>
                  <w:tcW w:w="898" w:type="dxa"/>
                  <w:vAlign w:val="center"/>
                </w:tcPr>
                <w:p w14:paraId="1AC780E8">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 w:val="22"/>
                      <w:szCs w:val="22"/>
                      <w:highlight w:val="none"/>
                      <w:lang w:bidi="ar"/>
                      <w14:textFill>
                        <w14:solidFill>
                          <w14:schemeClr w14:val="tx1"/>
                        </w14:solidFill>
                      </w14:textFill>
                    </w:rPr>
                    <w:t>70</w:t>
                  </w:r>
                </w:p>
              </w:tc>
              <w:tc>
                <w:tcPr>
                  <w:tcW w:w="944" w:type="dxa"/>
                  <w:vAlign w:val="center"/>
                </w:tcPr>
                <w:p w14:paraId="72A910A1">
                  <w:pPr>
                    <w:widowControl/>
                    <w:autoSpaceDE w:val="0"/>
                    <w:autoSpaceDN w:val="0"/>
                    <w:adjustRightInd w:val="0"/>
                    <w:snapToGrid w:val="0"/>
                    <w:ind w:left="62"/>
                    <w:jc w:val="center"/>
                    <w:textAlignment w:val="cente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0.021</w:t>
                  </w:r>
                </w:p>
              </w:tc>
            </w:tr>
            <w:tr w14:paraId="4A6FC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1" w:type="pct"/>
                  <w:gridSpan w:val="3"/>
                  <w:vAlign w:val="center"/>
                </w:tcPr>
                <w:p w14:paraId="4278A20B">
                  <w:pPr>
                    <w:widowControl/>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总计</w:t>
                  </w:r>
                </w:p>
              </w:tc>
              <w:tc>
                <w:tcPr>
                  <w:tcW w:w="517" w:type="pct"/>
                  <w:vAlign w:val="center"/>
                </w:tcPr>
                <w:p w14:paraId="28ED6573">
                  <w:pPr>
                    <w:widowControl/>
                    <w:autoSpaceDE w:val="0"/>
                    <w:autoSpaceDN w:val="0"/>
                    <w:adjustRightInd w:val="0"/>
                    <w:snapToGrid w:val="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3.837</w:t>
                  </w:r>
                </w:p>
              </w:tc>
              <w:tc>
                <w:tcPr>
                  <w:tcW w:w="784" w:type="dxa"/>
                  <w:vAlign w:val="center"/>
                </w:tcPr>
                <w:p w14:paraId="3659C45F">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861" w:type="dxa"/>
                  <w:vAlign w:val="center"/>
                </w:tcPr>
                <w:p w14:paraId="2CCF30F4">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0.331</w:t>
                  </w:r>
                </w:p>
              </w:tc>
              <w:tc>
                <w:tcPr>
                  <w:tcW w:w="898" w:type="dxa"/>
                  <w:vAlign w:val="center"/>
                </w:tcPr>
                <w:p w14:paraId="2395BC36">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eastAsia="等线" w:cs="Times New Roman"/>
                      <w:color w:val="000000" w:themeColor="text1"/>
                      <w:kern w:val="0"/>
                      <w:szCs w:val="21"/>
                      <w:highlight w:val="none"/>
                      <w:lang w:bidi="ar"/>
                      <w14:textFill>
                        <w14:solidFill>
                          <w14:schemeClr w14:val="tx1"/>
                        </w14:solidFill>
                      </w14:textFill>
                    </w:rPr>
                    <w:t>/</w:t>
                  </w:r>
                </w:p>
              </w:tc>
              <w:tc>
                <w:tcPr>
                  <w:tcW w:w="944" w:type="dxa"/>
                  <w:vAlign w:val="center"/>
                </w:tcPr>
                <w:p w14:paraId="4262269A">
                  <w:pPr>
                    <w:widowControl/>
                    <w:autoSpaceDE w:val="0"/>
                    <w:autoSpaceDN w:val="0"/>
                    <w:adjustRightInd w:val="0"/>
                    <w:snapToGrid w:val="0"/>
                    <w:ind w:left="62"/>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0.912</w:t>
                  </w:r>
                </w:p>
              </w:tc>
            </w:tr>
          </w:tbl>
          <w:p w14:paraId="3DBD0616">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其中，挥发组分中喷漆与烘干占比为8:2。</w:t>
            </w:r>
          </w:p>
          <w:p w14:paraId="179F490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A、漆雾</w:t>
            </w:r>
          </w:p>
          <w:p w14:paraId="54C1F6A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漆雾主要产生于喷漆房（底漆房、面漆房），油漆在高压作用下雾化成微粒，在喷涂时，部分油漆未到达喷漆物表面，随气流弥散形成漆雾。根据本公司喷涂工艺和喷枪经销商提供的技术参数，同时查阅相关文献资料（《谈喷涂涂着效率》王锡春，《现代涂料与涂装》2006.10），确定上漆率≥70%，即有漆中固形物的 70%被产品附着，10%形成漆渣，剩余 20%形成漆雾。</w:t>
            </w:r>
          </w:p>
          <w:p w14:paraId="30210FD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本项目人工使用喷枪对抛丸后的工件进行喷漆，上漆率根据《涂装工艺与设备》（化学工业出版社），按平均附着率70%计，并参照《污染源源强核算技术指南汽车制造》（HJ 1097-2020）中5.1.2颗粒物的核算方法：</w:t>
            </w:r>
          </w:p>
          <w:p w14:paraId="7F6A298F">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479675" cy="531495"/>
                  <wp:effectExtent l="0" t="0" r="15875" b="190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479675" cy="531495"/>
                          </a:xfrm>
                          <a:prstGeom prst="rect">
                            <a:avLst/>
                          </a:prstGeom>
                        </pic:spPr>
                      </pic:pic>
                    </a:graphicData>
                  </a:graphic>
                </wp:inline>
              </w:drawing>
            </w:r>
          </w:p>
          <w:p w14:paraId="26C94D7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式中：D——核算时段内底漆、面漆中颗粒物（漆雾）产生量，t；</w:t>
            </w:r>
          </w:p>
          <w:p w14:paraId="13AD5AB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G——核算时段内底漆、面漆用物料消耗量，t；</w:t>
            </w:r>
          </w:p>
          <w:p w14:paraId="7C7F11A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W——核算时段内底漆、面漆中固体分含量，%，采用设计值，按本项目核算调漆后固体份含量；</w:t>
            </w:r>
          </w:p>
          <w:p w14:paraId="31D5EDD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λ——对应喷涂工艺固体分附着率，%，不同喷涂工艺物料固体分附着率采用设计值，无设计值时参考附录E确定。</w:t>
            </w:r>
          </w:p>
          <w:p w14:paraId="771242C5">
            <w:pPr>
              <w:widowControl/>
              <w:adjustRightInd w:val="0"/>
              <w:snapToGrid w:val="0"/>
              <w:jc w:val="cente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表4-1</w:t>
            </w:r>
            <w:r>
              <w:rPr>
                <w:rFonts w:hint="default" w:ascii="Times New Roman" w:hAnsi="Times New Roman" w:eastAsia="黑体" w:cs="Times New Roman"/>
                <w:b/>
                <w:bCs/>
                <w:color w:val="000000" w:themeColor="text1"/>
                <w:highlight w:val="none"/>
                <w14:textFill>
                  <w14:solidFill>
                    <w14:schemeClr w14:val="tx1"/>
                  </w14:solidFill>
                </w14:textFill>
              </w:rPr>
              <w:t>2</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项目喷漆过程漆雾产生量一览表</w:t>
            </w:r>
          </w:p>
          <w:tbl>
            <w:tblPr>
              <w:tblStyle w:val="34"/>
              <w:tblW w:w="8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1392"/>
              <w:gridCol w:w="1392"/>
              <w:gridCol w:w="1392"/>
              <w:gridCol w:w="1393"/>
              <w:gridCol w:w="1393"/>
            </w:tblGrid>
            <w:tr w14:paraId="2AACD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Align w:val="center"/>
                </w:tcPr>
                <w:p w14:paraId="12986E7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生产环节</w:t>
                  </w:r>
                </w:p>
              </w:tc>
              <w:tc>
                <w:tcPr>
                  <w:tcW w:w="1392" w:type="dxa"/>
                  <w:vAlign w:val="center"/>
                </w:tcPr>
                <w:p w14:paraId="7CD2781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用漆类型</w:t>
                  </w:r>
                </w:p>
              </w:tc>
              <w:tc>
                <w:tcPr>
                  <w:tcW w:w="1392" w:type="dxa"/>
                  <w:vAlign w:val="center"/>
                </w:tcPr>
                <w:p w14:paraId="3156C2C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油漆用量</w:t>
                  </w:r>
                </w:p>
                <w:p w14:paraId="687C43C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（t/a）</w:t>
                  </w:r>
                </w:p>
              </w:tc>
              <w:tc>
                <w:tcPr>
                  <w:tcW w:w="1392" w:type="dxa"/>
                  <w:vAlign w:val="center"/>
                </w:tcPr>
                <w:p w14:paraId="02404B0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调漆后固体分含量（%）</w:t>
                  </w:r>
                </w:p>
              </w:tc>
              <w:tc>
                <w:tcPr>
                  <w:tcW w:w="1393" w:type="dxa"/>
                  <w:vAlign w:val="center"/>
                </w:tcPr>
                <w:p w14:paraId="778B5EC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上漆率（%）</w:t>
                  </w:r>
                </w:p>
              </w:tc>
              <w:tc>
                <w:tcPr>
                  <w:tcW w:w="1393" w:type="dxa"/>
                  <w:vAlign w:val="center"/>
                </w:tcPr>
                <w:p w14:paraId="38BFCF3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漆雾产生量</w:t>
                  </w:r>
                </w:p>
                <w:p w14:paraId="317D302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（t/a）</w:t>
                  </w:r>
                </w:p>
              </w:tc>
            </w:tr>
            <w:tr w14:paraId="54CA7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Merge w:val="restart"/>
                  <w:vAlign w:val="center"/>
                </w:tcPr>
                <w:p w14:paraId="443414AE">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设备结构件喷漆及烘干线</w:t>
                  </w:r>
                </w:p>
              </w:tc>
              <w:tc>
                <w:tcPr>
                  <w:tcW w:w="1392" w:type="dxa"/>
                  <w:vAlign w:val="center"/>
                </w:tcPr>
                <w:p w14:paraId="1D0A398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底漆</w:t>
                  </w:r>
                </w:p>
              </w:tc>
              <w:tc>
                <w:tcPr>
                  <w:tcW w:w="1392" w:type="dxa"/>
                  <w:vAlign w:val="center"/>
                </w:tcPr>
                <w:p w14:paraId="2C4D62C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2.442</w:t>
                  </w:r>
                </w:p>
              </w:tc>
              <w:tc>
                <w:tcPr>
                  <w:tcW w:w="1392" w:type="dxa"/>
                  <w:vAlign w:val="center"/>
                </w:tcPr>
                <w:p w14:paraId="2FD366B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61.27</w:t>
                  </w:r>
                </w:p>
              </w:tc>
              <w:tc>
                <w:tcPr>
                  <w:tcW w:w="1393" w:type="dxa"/>
                  <w:vAlign w:val="center"/>
                </w:tcPr>
                <w:p w14:paraId="5C18BFC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393" w:type="dxa"/>
                  <w:vAlign w:val="center"/>
                </w:tcPr>
                <w:p w14:paraId="3C81A60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0.265</w:t>
                  </w:r>
                </w:p>
              </w:tc>
            </w:tr>
            <w:tr w14:paraId="1AEE6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2" w:type="dxa"/>
                  <w:vMerge w:val="continue"/>
                  <w:vAlign w:val="center"/>
                </w:tcPr>
                <w:p w14:paraId="759633F7">
                  <w:pPr>
                    <w:jc w:val="center"/>
                    <w:rPr>
                      <w:rFonts w:hint="default" w:ascii="Times New Roman" w:hAnsi="Times New Roman" w:cs="Times New Roman"/>
                      <w:color w:val="000000" w:themeColor="text1"/>
                      <w:highlight w:val="none"/>
                      <w14:textFill>
                        <w14:solidFill>
                          <w14:schemeClr w14:val="tx1"/>
                        </w14:solidFill>
                      </w14:textFill>
                    </w:rPr>
                  </w:pPr>
                </w:p>
              </w:tc>
              <w:tc>
                <w:tcPr>
                  <w:tcW w:w="1392" w:type="dxa"/>
                  <w:vAlign w:val="center"/>
                </w:tcPr>
                <w:p w14:paraId="1E548AC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黄面漆</w:t>
                  </w:r>
                </w:p>
              </w:tc>
              <w:tc>
                <w:tcPr>
                  <w:tcW w:w="1392" w:type="dxa"/>
                  <w:vAlign w:val="center"/>
                </w:tcPr>
                <w:p w14:paraId="2C5D04D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1.365</w:t>
                  </w:r>
                </w:p>
              </w:tc>
              <w:tc>
                <w:tcPr>
                  <w:tcW w:w="1392" w:type="dxa"/>
                  <w:vAlign w:val="center"/>
                </w:tcPr>
                <w:p w14:paraId="078F219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67.87</w:t>
                  </w:r>
                </w:p>
              </w:tc>
              <w:tc>
                <w:tcPr>
                  <w:tcW w:w="1393" w:type="dxa"/>
                  <w:vAlign w:val="center"/>
                </w:tcPr>
                <w:p w14:paraId="190973C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70</w:t>
                  </w:r>
                </w:p>
              </w:tc>
              <w:tc>
                <w:tcPr>
                  <w:tcW w:w="1393" w:type="dxa"/>
                  <w:vAlign w:val="center"/>
                </w:tcPr>
                <w:p w14:paraId="1AAA8649">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0.278</w:t>
                  </w:r>
                </w:p>
              </w:tc>
            </w:tr>
            <w:tr w14:paraId="20F9E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4" w:type="dxa"/>
                  <w:gridSpan w:val="2"/>
                  <w:vAlign w:val="center"/>
                </w:tcPr>
                <w:p w14:paraId="475E8C2F">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合计</w:t>
                  </w:r>
                </w:p>
              </w:tc>
              <w:tc>
                <w:tcPr>
                  <w:tcW w:w="1392" w:type="dxa"/>
                  <w:vAlign w:val="center"/>
                </w:tcPr>
                <w:p w14:paraId="1134BA5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3.801</w:t>
                  </w:r>
                </w:p>
              </w:tc>
              <w:tc>
                <w:tcPr>
                  <w:tcW w:w="1392" w:type="dxa"/>
                  <w:vAlign w:val="center"/>
                </w:tcPr>
                <w:p w14:paraId="2EDCAE10">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393" w:type="dxa"/>
                  <w:vAlign w:val="center"/>
                </w:tcPr>
                <w:p w14:paraId="630E603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c>
                <w:tcPr>
                  <w:tcW w:w="1393" w:type="dxa"/>
                  <w:vAlign w:val="center"/>
                </w:tcPr>
                <w:p w14:paraId="398E3E5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0.543</w:t>
                  </w:r>
                </w:p>
              </w:tc>
            </w:tr>
          </w:tbl>
          <w:p w14:paraId="2EC365DF">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B、挥发性有机废气</w:t>
            </w:r>
          </w:p>
          <w:p w14:paraId="1927F182">
            <w:pPr>
              <w:spacing w:line="360" w:lineRule="auto"/>
              <w:ind w:firstLine="482"/>
              <w:rPr>
                <w:rFonts w:hint="default" w:ascii="Times New Roman" w:hAnsi="Times New Roman" w:eastAsia="黑体" w:cs="Times New Roman"/>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由于本项目喷漆及烘干过程为全密闭状态，仅在工件进出时开关门，生产过程禁止非工作人员随便进出，并且室顶部设有强排风负压收集装置，根据《主要污染物总量减排核算技术指南（2022年修订）》表 2-3 VOCs 废气收集率和治理设施去除率通用系数：密闭负压收集效率为90%；由于考虑工件烘干效果，项目喷漆间与烘干间单独设置，而大部分工件较重，从喷漆间转移烘干间需要采用车间顶部设置的行车进行转移，但转移距离较近，时间短，转移过程将有少量挥发性有机气体将无法有效收集，评价要求喷漆后的工件应在喷漆间内停留一定的时间，待挥发性有机废气基本收集后再进行转移；按最不利影响分析，即油漆中挥发性有机物100%挥发（包括喷枪清洗剂，各喷漆间设置1个密封的喷枪清洗桶，清洗剂每周更换一次，一次用量约0.625kg，则年清洗剂约0.03t/a，每个喷漆间清洗剂用量约0.03t/a），喷漆</w:t>
            </w:r>
            <w:r>
              <w:rPr>
                <w:rFonts w:hint="default" w:ascii="Times New Roman" w:hAnsi="Times New Roman" w:cs="Times New Roman"/>
                <w:color w:val="000000" w:themeColor="text1"/>
                <w:sz w:val="24"/>
                <w:highlight w:val="none"/>
                <w14:textFill>
                  <w14:solidFill>
                    <w14:schemeClr w14:val="tx1"/>
                  </w14:solidFill>
                </w14:textFill>
              </w:rPr>
              <w:t>、烘干</w:t>
            </w:r>
            <w:r>
              <w:rPr>
                <w:rFonts w:hint="default" w:ascii="Times New Roman" w:hAnsi="Times New Roman" w:cs="Times New Roman"/>
                <w:color w:val="000000" w:themeColor="text1"/>
                <w:sz w:val="24"/>
                <w:highlight w:val="none"/>
                <w14:textFill>
                  <w14:solidFill>
                    <w14:schemeClr w14:val="tx1"/>
                  </w14:solidFill>
                </w14:textFill>
              </w:rPr>
              <w:t>生产线年工作时间约1020h/a，配套风机风量为48000m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/h，则本项目两套喷漆生产线废气产排污具体情况见下表。</w:t>
            </w:r>
          </w:p>
          <w:p w14:paraId="2C68C55F">
            <w:pPr>
              <w:widowControl/>
              <w:adjustRightInd w:val="0"/>
              <w:snapToGrid w:val="0"/>
              <w:jc w:val="center"/>
              <w:rPr>
                <w:rFonts w:hint="default" w:ascii="Times New Roman" w:hAnsi="Times New Roman" w:eastAsia="黑体" w:cs="Times New Roman"/>
                <w:b/>
                <w:bCs/>
                <w:color w:val="000000" w:themeColor="text1"/>
                <w:highlight w:val="none"/>
                <w:u w:val="single"/>
                <w14:textFill>
                  <w14:solidFill>
                    <w14:schemeClr w14:val="tx1"/>
                  </w14:solidFill>
                </w14:textFill>
              </w:rPr>
            </w:pPr>
            <w:r>
              <w:rPr>
                <w:rFonts w:hint="default" w:ascii="Times New Roman" w:hAnsi="Times New Roman" w:eastAsia="黑体" w:cs="Times New Roman"/>
                <w:b/>
                <w:bCs/>
                <w:color w:val="000000" w:themeColor="text1"/>
                <w:highlight w:val="none"/>
                <w:u w:val="single"/>
                <w14:textFill>
                  <w14:solidFill>
                    <w14:schemeClr w14:val="tx1"/>
                  </w14:solidFill>
                </w14:textFill>
              </w:rPr>
              <w:t>表4-1</w:t>
            </w:r>
            <w:r>
              <w:rPr>
                <w:rFonts w:hint="default" w:ascii="Times New Roman" w:hAnsi="Times New Roman" w:eastAsia="黑体" w:cs="Times New Roman"/>
                <w:b/>
                <w:bCs/>
                <w:color w:val="000000" w:themeColor="text1"/>
                <w:highlight w:val="none"/>
                <w:u w:val="single"/>
                <w14:textFill>
                  <w14:solidFill>
                    <w14:schemeClr w14:val="tx1"/>
                  </w14:solidFill>
                </w14:textFill>
              </w:rPr>
              <w:t>3</w:t>
            </w:r>
            <w:r>
              <w:rPr>
                <w:rFonts w:hint="default" w:ascii="Times New Roman" w:hAnsi="Times New Roman" w:eastAsia="黑体" w:cs="Times New Roman"/>
                <w:b/>
                <w:bCs/>
                <w:color w:val="000000" w:themeColor="text1"/>
                <w:highlight w:val="none"/>
                <w:u w:val="single"/>
                <w14:textFill>
                  <w14:solidFill>
                    <w14:schemeClr w14:val="tx1"/>
                  </w14:solidFill>
                </w14:textFill>
              </w:rPr>
              <w:t xml:space="preserve">  本项目喷漆及烘干废气产排情况一览表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642"/>
              <w:gridCol w:w="1282"/>
              <w:gridCol w:w="968"/>
              <w:gridCol w:w="833"/>
              <w:gridCol w:w="850"/>
              <w:gridCol w:w="655"/>
              <w:gridCol w:w="833"/>
              <w:gridCol w:w="836"/>
              <w:gridCol w:w="857"/>
            </w:tblGrid>
            <w:tr w14:paraId="515A4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98" w:type="pct"/>
                  <w:gridSpan w:val="2"/>
                  <w:vMerge w:val="restart"/>
                  <w:vAlign w:val="center"/>
                </w:tcPr>
                <w:p w14:paraId="4A68896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产生工序</w:t>
                  </w:r>
                </w:p>
              </w:tc>
              <w:tc>
                <w:tcPr>
                  <w:tcW w:w="757" w:type="pct"/>
                  <w:vMerge w:val="restart"/>
                  <w:shd w:val="clear" w:color="auto" w:fill="auto"/>
                  <w:noWrap/>
                  <w:vAlign w:val="center"/>
                </w:tcPr>
                <w:p w14:paraId="276B2D1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污染物</w:t>
                  </w:r>
                </w:p>
              </w:tc>
              <w:tc>
                <w:tcPr>
                  <w:tcW w:w="1566" w:type="pct"/>
                  <w:gridSpan w:val="3"/>
                  <w:shd w:val="clear" w:color="auto" w:fill="auto"/>
                  <w:noWrap/>
                  <w:vAlign w:val="center"/>
                </w:tcPr>
                <w:p w14:paraId="55ADF04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产生情况</w:t>
                  </w:r>
                </w:p>
              </w:tc>
              <w:tc>
                <w:tcPr>
                  <w:tcW w:w="387" w:type="pct"/>
                  <w:vMerge w:val="restart"/>
                  <w:shd w:val="clear" w:color="auto" w:fill="auto"/>
                  <w:noWrap/>
                  <w:vAlign w:val="center"/>
                </w:tcPr>
                <w:p w14:paraId="0CE77F4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处理效率</w:t>
                  </w:r>
                </w:p>
                <w:p w14:paraId="2809A19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w:t>
                  </w:r>
                </w:p>
              </w:tc>
              <w:tc>
                <w:tcPr>
                  <w:tcW w:w="1490" w:type="pct"/>
                  <w:gridSpan w:val="3"/>
                  <w:shd w:val="clear" w:color="auto" w:fill="auto"/>
                  <w:noWrap/>
                  <w:vAlign w:val="center"/>
                </w:tcPr>
                <w:p w14:paraId="148870C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排放情况</w:t>
                  </w:r>
                </w:p>
              </w:tc>
            </w:tr>
            <w:tr w14:paraId="652E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98" w:type="pct"/>
                  <w:gridSpan w:val="2"/>
                  <w:vMerge w:val="continue"/>
                  <w:vAlign w:val="center"/>
                </w:tcPr>
                <w:p w14:paraId="0EAC7C8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vMerge w:val="continue"/>
                  <w:shd w:val="clear" w:color="auto" w:fill="auto"/>
                  <w:noWrap/>
                  <w:vAlign w:val="center"/>
                </w:tcPr>
                <w:p w14:paraId="0A32E4E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572" w:type="pct"/>
                  <w:shd w:val="clear" w:color="auto" w:fill="auto"/>
                  <w:noWrap/>
                  <w:vAlign w:val="center"/>
                </w:tcPr>
                <w:p w14:paraId="5D83FD75">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产生/收集量t/a</w:t>
                  </w:r>
                </w:p>
              </w:tc>
              <w:tc>
                <w:tcPr>
                  <w:tcW w:w="492" w:type="pct"/>
                  <w:shd w:val="clear" w:color="auto" w:fill="auto"/>
                  <w:noWrap/>
                  <w:vAlign w:val="center"/>
                </w:tcPr>
                <w:p w14:paraId="2B9F4A4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速率kg/h</w:t>
                  </w:r>
                </w:p>
              </w:tc>
              <w:tc>
                <w:tcPr>
                  <w:tcW w:w="501" w:type="pct"/>
                  <w:shd w:val="clear" w:color="auto" w:fill="auto"/>
                  <w:noWrap/>
                  <w:vAlign w:val="center"/>
                </w:tcPr>
                <w:p w14:paraId="18F2027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浓度mg/m</w:t>
                  </w:r>
                  <w:r>
                    <w:rPr>
                      <w:rFonts w:hint="default" w:ascii="Times New Roman" w:hAnsi="Times New Roman" w:cs="Times New Roman" w:eastAsiaTheme="minorEastAsia"/>
                      <w:color w:val="000000" w:themeColor="text1"/>
                      <w:szCs w:val="21"/>
                      <w:highlight w:val="none"/>
                      <w:u w:val="single"/>
                      <w:vertAlign w:val="superscript"/>
                      <w14:textFill>
                        <w14:solidFill>
                          <w14:schemeClr w14:val="tx1"/>
                        </w14:solidFill>
                      </w14:textFill>
                    </w:rPr>
                    <w:t>3</w:t>
                  </w:r>
                </w:p>
              </w:tc>
              <w:tc>
                <w:tcPr>
                  <w:tcW w:w="387" w:type="pct"/>
                  <w:vMerge w:val="continue"/>
                  <w:shd w:val="clear" w:color="auto" w:fill="auto"/>
                  <w:noWrap/>
                  <w:vAlign w:val="center"/>
                </w:tcPr>
                <w:p w14:paraId="1754E28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492" w:type="pct"/>
                  <w:shd w:val="clear" w:color="auto" w:fill="auto"/>
                  <w:noWrap/>
                  <w:vAlign w:val="center"/>
                </w:tcPr>
                <w:p w14:paraId="2E82117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排放量t/a</w:t>
                  </w:r>
                </w:p>
              </w:tc>
              <w:tc>
                <w:tcPr>
                  <w:tcW w:w="494" w:type="pct"/>
                  <w:shd w:val="clear" w:color="auto" w:fill="auto"/>
                  <w:noWrap/>
                  <w:vAlign w:val="center"/>
                </w:tcPr>
                <w:p w14:paraId="4EE5726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速率kg/h</w:t>
                  </w:r>
                </w:p>
              </w:tc>
              <w:tc>
                <w:tcPr>
                  <w:tcW w:w="502" w:type="pct"/>
                  <w:shd w:val="clear" w:color="auto" w:fill="auto"/>
                  <w:noWrap/>
                  <w:vAlign w:val="center"/>
                </w:tcPr>
                <w:p w14:paraId="5361ACC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浓度 mg/m</w:t>
                  </w:r>
                  <w:r>
                    <w:rPr>
                      <w:rFonts w:hint="default" w:ascii="Times New Roman" w:hAnsi="Times New Roman" w:cs="Times New Roman" w:eastAsiaTheme="minorEastAsia"/>
                      <w:color w:val="000000" w:themeColor="text1"/>
                      <w:szCs w:val="21"/>
                      <w:highlight w:val="none"/>
                      <w:u w:val="single"/>
                      <w:vertAlign w:val="superscript"/>
                      <w14:textFill>
                        <w14:solidFill>
                          <w14:schemeClr w14:val="tx1"/>
                        </w14:solidFill>
                      </w14:textFill>
                    </w:rPr>
                    <w:t>3</w:t>
                  </w:r>
                </w:p>
              </w:tc>
            </w:tr>
            <w:tr w14:paraId="494ED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000" w:type="pct"/>
                  <w:gridSpan w:val="10"/>
                  <w:vAlign w:val="center"/>
                </w:tcPr>
                <w:p w14:paraId="3F660EB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b/>
                      <w:bCs/>
                      <w:color w:val="000000" w:themeColor="text1"/>
                      <w:szCs w:val="21"/>
                      <w:highlight w:val="none"/>
                      <w:u w:val="single"/>
                      <w14:textFill>
                        <w14:solidFill>
                          <w14:schemeClr w14:val="tx1"/>
                        </w14:solidFill>
                      </w14:textFill>
                    </w:rPr>
                    <w:t>烘干废气：</w:t>
                  </w:r>
                </w:p>
              </w:tc>
            </w:tr>
            <w:tr w14:paraId="73A0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restart"/>
                  <w:vAlign w:val="center"/>
                </w:tcPr>
                <w:p w14:paraId="70652FF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现有工程</w:t>
                  </w:r>
                </w:p>
              </w:tc>
              <w:tc>
                <w:tcPr>
                  <w:tcW w:w="378" w:type="pct"/>
                  <w:vMerge w:val="restart"/>
                  <w:vAlign w:val="center"/>
                </w:tcPr>
                <w:p w14:paraId="74EEDBD7">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有组织</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DA</w:t>
                  </w:r>
                </w:p>
                <w:p w14:paraId="0A74CCB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3</w:t>
                  </w:r>
                </w:p>
              </w:tc>
              <w:tc>
                <w:tcPr>
                  <w:tcW w:w="757" w:type="pct"/>
                  <w:shd w:val="clear" w:color="auto" w:fill="auto"/>
                  <w:noWrap/>
                  <w:vAlign w:val="center"/>
                </w:tcPr>
                <w:p w14:paraId="3DDDEA2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056C04E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0.507</w:t>
                  </w:r>
                </w:p>
              </w:tc>
              <w:tc>
                <w:tcPr>
                  <w:tcW w:w="492" w:type="pct"/>
                  <w:shd w:val="clear" w:color="auto" w:fill="auto"/>
                  <w:noWrap/>
                  <w:vAlign w:val="center"/>
                </w:tcPr>
                <w:p w14:paraId="1C04D0A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0.497 </w:t>
                  </w:r>
                </w:p>
              </w:tc>
              <w:tc>
                <w:tcPr>
                  <w:tcW w:w="501" w:type="pct"/>
                  <w:shd w:val="clear" w:color="auto" w:fill="auto"/>
                  <w:noWrap/>
                  <w:vAlign w:val="center"/>
                </w:tcPr>
                <w:p w14:paraId="7FC4B1F6">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10.355 </w:t>
                  </w:r>
                </w:p>
              </w:tc>
              <w:tc>
                <w:tcPr>
                  <w:tcW w:w="387" w:type="pct"/>
                  <w:shd w:val="clear" w:color="auto" w:fill="auto"/>
                  <w:noWrap/>
                  <w:vAlign w:val="center"/>
                </w:tcPr>
                <w:p w14:paraId="37EC25C6">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492" w:type="pct"/>
                  <w:shd w:val="clear" w:color="auto" w:fill="auto"/>
                  <w:noWrap/>
                  <w:vAlign w:val="center"/>
                </w:tcPr>
                <w:p w14:paraId="7971FD0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0.0254 </w:t>
                  </w:r>
                </w:p>
              </w:tc>
              <w:tc>
                <w:tcPr>
                  <w:tcW w:w="494" w:type="pct"/>
                  <w:shd w:val="clear" w:color="auto" w:fill="auto"/>
                  <w:noWrap/>
                  <w:vAlign w:val="center"/>
                </w:tcPr>
                <w:p w14:paraId="25062A60">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0.025 </w:t>
                  </w:r>
                </w:p>
              </w:tc>
              <w:tc>
                <w:tcPr>
                  <w:tcW w:w="502" w:type="pct"/>
                  <w:shd w:val="clear" w:color="auto" w:fill="auto"/>
                  <w:noWrap/>
                  <w:vAlign w:val="center"/>
                </w:tcPr>
                <w:p w14:paraId="78947D8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0.518 </w:t>
                  </w:r>
                </w:p>
              </w:tc>
            </w:tr>
            <w:tr w14:paraId="38A00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continue"/>
                  <w:vAlign w:val="center"/>
                </w:tcPr>
                <w:p w14:paraId="5D1B877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vAlign w:val="center"/>
                </w:tcPr>
                <w:p w14:paraId="042869C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1D6DA0D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11C08438">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0.103</w:t>
                  </w:r>
                </w:p>
              </w:tc>
              <w:tc>
                <w:tcPr>
                  <w:tcW w:w="492" w:type="pct"/>
                  <w:shd w:val="clear" w:color="auto" w:fill="auto"/>
                  <w:noWrap/>
                  <w:vAlign w:val="center"/>
                </w:tcPr>
                <w:p w14:paraId="219D149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0.101 </w:t>
                  </w:r>
                </w:p>
              </w:tc>
              <w:tc>
                <w:tcPr>
                  <w:tcW w:w="501" w:type="pct"/>
                  <w:shd w:val="clear" w:color="auto" w:fill="auto"/>
                  <w:noWrap/>
                  <w:vAlign w:val="center"/>
                </w:tcPr>
                <w:p w14:paraId="222B99D5">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2.104 </w:t>
                  </w:r>
                </w:p>
              </w:tc>
              <w:tc>
                <w:tcPr>
                  <w:tcW w:w="387" w:type="pct"/>
                  <w:shd w:val="clear" w:color="auto" w:fill="auto"/>
                  <w:noWrap/>
                  <w:vAlign w:val="center"/>
                </w:tcPr>
                <w:p w14:paraId="7DB943F6">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94</w:t>
                  </w:r>
                </w:p>
              </w:tc>
              <w:tc>
                <w:tcPr>
                  <w:tcW w:w="492" w:type="pct"/>
                  <w:shd w:val="clear" w:color="auto" w:fill="auto"/>
                  <w:noWrap/>
                  <w:vAlign w:val="center"/>
                </w:tcPr>
                <w:p w14:paraId="47712E6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0.0062 </w:t>
                  </w:r>
                </w:p>
              </w:tc>
              <w:tc>
                <w:tcPr>
                  <w:tcW w:w="494" w:type="pct"/>
                  <w:shd w:val="clear" w:color="auto" w:fill="auto"/>
                  <w:noWrap/>
                  <w:vAlign w:val="center"/>
                </w:tcPr>
                <w:p w14:paraId="5C0EE16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0.006 </w:t>
                  </w:r>
                </w:p>
              </w:tc>
              <w:tc>
                <w:tcPr>
                  <w:tcW w:w="502" w:type="pct"/>
                  <w:shd w:val="clear" w:color="auto" w:fill="auto"/>
                  <w:noWrap/>
                  <w:vAlign w:val="center"/>
                </w:tcPr>
                <w:p w14:paraId="41E99258">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0.126 </w:t>
                  </w:r>
                </w:p>
              </w:tc>
            </w:tr>
            <w:tr w14:paraId="39AAB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continue"/>
                  <w:vAlign w:val="center"/>
                </w:tcPr>
                <w:p w14:paraId="6EEE4BD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vAlign w:val="center"/>
                </w:tcPr>
                <w:p w14:paraId="46E0413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243280D2">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4084C7B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0.443</w:t>
                  </w:r>
                </w:p>
              </w:tc>
              <w:tc>
                <w:tcPr>
                  <w:tcW w:w="492" w:type="pct"/>
                  <w:shd w:val="clear" w:color="auto" w:fill="auto"/>
                  <w:noWrap/>
                  <w:vAlign w:val="center"/>
                </w:tcPr>
                <w:p w14:paraId="40EE7FA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0.434 </w:t>
                  </w:r>
                </w:p>
              </w:tc>
              <w:tc>
                <w:tcPr>
                  <w:tcW w:w="501" w:type="pct"/>
                  <w:shd w:val="clear" w:color="auto" w:fill="auto"/>
                  <w:noWrap/>
                  <w:vAlign w:val="center"/>
                </w:tcPr>
                <w:p w14:paraId="18A366FC">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9.048 </w:t>
                  </w:r>
                </w:p>
              </w:tc>
              <w:tc>
                <w:tcPr>
                  <w:tcW w:w="387" w:type="pct"/>
                  <w:shd w:val="clear" w:color="auto" w:fill="auto"/>
                  <w:noWrap/>
                  <w:vAlign w:val="center"/>
                </w:tcPr>
                <w:p w14:paraId="4FB2920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492" w:type="pct"/>
                  <w:shd w:val="clear" w:color="auto" w:fill="auto"/>
                  <w:noWrap/>
                  <w:vAlign w:val="center"/>
                </w:tcPr>
                <w:p w14:paraId="109A325A">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0.0222 </w:t>
                  </w:r>
                </w:p>
              </w:tc>
              <w:tc>
                <w:tcPr>
                  <w:tcW w:w="494" w:type="pct"/>
                  <w:shd w:val="clear" w:color="auto" w:fill="auto"/>
                  <w:noWrap/>
                  <w:vAlign w:val="center"/>
                </w:tcPr>
                <w:p w14:paraId="068A6590">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0.022 </w:t>
                  </w:r>
                </w:p>
              </w:tc>
              <w:tc>
                <w:tcPr>
                  <w:tcW w:w="502" w:type="pct"/>
                  <w:shd w:val="clear" w:color="auto" w:fill="auto"/>
                  <w:noWrap/>
                  <w:vAlign w:val="center"/>
                </w:tcPr>
                <w:p w14:paraId="0667080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0.452 </w:t>
                  </w:r>
                </w:p>
              </w:tc>
            </w:tr>
            <w:tr w14:paraId="26B4A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continue"/>
                  <w:vAlign w:val="center"/>
                </w:tcPr>
                <w:p w14:paraId="64E6FD47">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restart"/>
                  <w:vAlign w:val="center"/>
                </w:tcPr>
                <w:p w14:paraId="0C8F80B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无组织</w:t>
                  </w:r>
                </w:p>
              </w:tc>
              <w:tc>
                <w:tcPr>
                  <w:tcW w:w="757" w:type="pct"/>
                  <w:shd w:val="clear" w:color="auto" w:fill="auto"/>
                  <w:noWrap/>
                  <w:vAlign w:val="center"/>
                </w:tcPr>
                <w:p w14:paraId="7849798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35C7AE05">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0.056</w:t>
                  </w:r>
                </w:p>
              </w:tc>
              <w:tc>
                <w:tcPr>
                  <w:tcW w:w="492" w:type="pct"/>
                  <w:shd w:val="clear" w:color="auto" w:fill="auto"/>
                  <w:noWrap/>
                  <w:vAlign w:val="center"/>
                </w:tcPr>
                <w:p w14:paraId="486BD36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0.055 </w:t>
                  </w:r>
                </w:p>
              </w:tc>
              <w:tc>
                <w:tcPr>
                  <w:tcW w:w="501" w:type="pct"/>
                  <w:shd w:val="clear" w:color="auto" w:fill="auto"/>
                  <w:noWrap/>
                  <w:vAlign w:val="center"/>
                </w:tcPr>
                <w:p w14:paraId="6B99EB3C">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0AE24E51">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26E3341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0.056</w:t>
                  </w:r>
                </w:p>
              </w:tc>
              <w:tc>
                <w:tcPr>
                  <w:tcW w:w="838" w:type="dxa"/>
                  <w:shd w:val="clear" w:color="auto" w:fill="auto"/>
                  <w:noWrap/>
                  <w:vAlign w:val="center"/>
                </w:tcPr>
                <w:p w14:paraId="75525F2C">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0.055 </w:t>
                  </w:r>
                </w:p>
              </w:tc>
              <w:tc>
                <w:tcPr>
                  <w:tcW w:w="502" w:type="pct"/>
                  <w:shd w:val="clear" w:color="auto" w:fill="auto"/>
                  <w:noWrap/>
                  <w:vAlign w:val="center"/>
                </w:tcPr>
                <w:p w14:paraId="741A0EBF">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1BFF4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continue"/>
                  <w:vAlign w:val="center"/>
                </w:tcPr>
                <w:p w14:paraId="7B908BA7">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vAlign w:val="center"/>
                </w:tcPr>
                <w:p w14:paraId="734A8BA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0DDBE3B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47BC259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0.012</w:t>
                  </w:r>
                </w:p>
              </w:tc>
              <w:tc>
                <w:tcPr>
                  <w:tcW w:w="492" w:type="pct"/>
                  <w:shd w:val="clear" w:color="auto" w:fill="auto"/>
                  <w:noWrap/>
                  <w:vAlign w:val="center"/>
                </w:tcPr>
                <w:p w14:paraId="17FC107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0.012 </w:t>
                  </w:r>
                </w:p>
              </w:tc>
              <w:tc>
                <w:tcPr>
                  <w:tcW w:w="501" w:type="pct"/>
                  <w:shd w:val="clear" w:color="auto" w:fill="auto"/>
                  <w:noWrap/>
                  <w:vAlign w:val="center"/>
                </w:tcPr>
                <w:p w14:paraId="3C0F840F">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3A4A1874">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4798EE4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0.012</w:t>
                  </w:r>
                </w:p>
              </w:tc>
              <w:tc>
                <w:tcPr>
                  <w:tcW w:w="838" w:type="dxa"/>
                  <w:shd w:val="clear" w:color="auto" w:fill="auto"/>
                  <w:noWrap/>
                  <w:vAlign w:val="center"/>
                </w:tcPr>
                <w:p w14:paraId="50FA3FA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0.012 </w:t>
                  </w:r>
                </w:p>
              </w:tc>
              <w:tc>
                <w:tcPr>
                  <w:tcW w:w="502" w:type="pct"/>
                  <w:shd w:val="clear" w:color="auto" w:fill="auto"/>
                  <w:noWrap/>
                  <w:vAlign w:val="center"/>
                </w:tcPr>
                <w:p w14:paraId="2B69FC42">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57E99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19" w:type="pct"/>
                  <w:vMerge w:val="continue"/>
                  <w:vAlign w:val="center"/>
                </w:tcPr>
                <w:p w14:paraId="2B7D8B9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vAlign w:val="center"/>
                </w:tcPr>
                <w:p w14:paraId="0A604B7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2B3CC00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549F4FD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0.049</w:t>
                  </w:r>
                </w:p>
              </w:tc>
              <w:tc>
                <w:tcPr>
                  <w:tcW w:w="492" w:type="pct"/>
                  <w:shd w:val="clear" w:color="auto" w:fill="auto"/>
                  <w:noWrap/>
                  <w:vAlign w:val="center"/>
                </w:tcPr>
                <w:p w14:paraId="7EC6C4A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0.048 </w:t>
                  </w:r>
                </w:p>
              </w:tc>
              <w:tc>
                <w:tcPr>
                  <w:tcW w:w="501" w:type="pct"/>
                  <w:shd w:val="clear" w:color="auto" w:fill="auto"/>
                  <w:noWrap/>
                  <w:vAlign w:val="center"/>
                </w:tcPr>
                <w:p w14:paraId="2A72CA1B">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10C03179">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3836A342">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0.049</w:t>
                  </w:r>
                </w:p>
              </w:tc>
              <w:tc>
                <w:tcPr>
                  <w:tcW w:w="838" w:type="dxa"/>
                  <w:shd w:val="clear" w:color="auto" w:fill="auto"/>
                  <w:noWrap/>
                  <w:vAlign w:val="center"/>
                </w:tcPr>
                <w:p w14:paraId="2321EC9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0.048 </w:t>
                  </w:r>
                </w:p>
              </w:tc>
              <w:tc>
                <w:tcPr>
                  <w:tcW w:w="502" w:type="pct"/>
                  <w:shd w:val="clear" w:color="auto" w:fill="auto"/>
                  <w:noWrap/>
                  <w:vAlign w:val="center"/>
                </w:tcPr>
                <w:p w14:paraId="677D95D2">
                  <w:pPr>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5B43B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restart"/>
                  <w:vAlign w:val="center"/>
                </w:tcPr>
                <w:p w14:paraId="3692D56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设备结构件</w:t>
                  </w:r>
                </w:p>
              </w:tc>
              <w:tc>
                <w:tcPr>
                  <w:tcW w:w="378" w:type="pct"/>
                  <w:vMerge w:val="restart"/>
                  <w:shd w:val="clear" w:color="auto" w:fill="auto"/>
                  <w:noWrap/>
                  <w:vAlign w:val="center"/>
                </w:tcPr>
                <w:p w14:paraId="3A10B9B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有组织</w:t>
                  </w:r>
                </w:p>
                <w:p w14:paraId="2EB256C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DA</w:t>
                  </w:r>
                </w:p>
                <w:p w14:paraId="0AB82FA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3</w:t>
                  </w:r>
                </w:p>
              </w:tc>
              <w:tc>
                <w:tcPr>
                  <w:tcW w:w="757" w:type="pct"/>
                  <w:shd w:val="clear" w:color="auto" w:fill="auto"/>
                  <w:noWrap/>
                  <w:vAlign w:val="center"/>
                </w:tcPr>
                <w:p w14:paraId="57097402">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20B4561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0.164</w:t>
                  </w:r>
                </w:p>
              </w:tc>
              <w:tc>
                <w:tcPr>
                  <w:tcW w:w="492" w:type="pct"/>
                  <w:shd w:val="clear" w:color="auto" w:fill="auto"/>
                  <w:noWrap/>
                  <w:vAlign w:val="center"/>
                </w:tcPr>
                <w:p w14:paraId="41581A6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0.161 </w:t>
                  </w:r>
                </w:p>
              </w:tc>
              <w:tc>
                <w:tcPr>
                  <w:tcW w:w="501" w:type="pct"/>
                  <w:shd w:val="clear" w:color="auto" w:fill="auto"/>
                  <w:noWrap/>
                  <w:vAlign w:val="center"/>
                </w:tcPr>
                <w:p w14:paraId="6BFAD8E2">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3.350 </w:t>
                  </w:r>
                </w:p>
              </w:tc>
              <w:tc>
                <w:tcPr>
                  <w:tcW w:w="387" w:type="pct"/>
                  <w:shd w:val="clear" w:color="auto" w:fill="auto"/>
                  <w:noWrap/>
                  <w:vAlign w:val="center"/>
                </w:tcPr>
                <w:p w14:paraId="115F37A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492" w:type="pct"/>
                  <w:shd w:val="clear" w:color="auto" w:fill="auto"/>
                  <w:noWrap/>
                  <w:vAlign w:val="center"/>
                </w:tcPr>
                <w:p w14:paraId="0CE7150E">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0.0082 </w:t>
                  </w:r>
                </w:p>
              </w:tc>
              <w:tc>
                <w:tcPr>
                  <w:tcW w:w="494" w:type="pct"/>
                  <w:shd w:val="clear" w:color="auto" w:fill="auto"/>
                  <w:noWrap/>
                  <w:vAlign w:val="center"/>
                </w:tcPr>
                <w:p w14:paraId="181F789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0.008 </w:t>
                  </w:r>
                </w:p>
              </w:tc>
              <w:tc>
                <w:tcPr>
                  <w:tcW w:w="502" w:type="pct"/>
                  <w:shd w:val="clear" w:color="auto" w:fill="auto"/>
                  <w:noWrap/>
                  <w:vAlign w:val="center"/>
                </w:tcPr>
                <w:p w14:paraId="0A618BFA">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0.167 </w:t>
                  </w:r>
                </w:p>
              </w:tc>
            </w:tr>
            <w:tr w14:paraId="2AC23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4EE4ED38">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3F6D5C8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61828E9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68A41203">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0.06</w:t>
                  </w:r>
                </w:p>
              </w:tc>
              <w:tc>
                <w:tcPr>
                  <w:tcW w:w="492" w:type="pct"/>
                  <w:shd w:val="clear" w:color="auto" w:fill="auto"/>
                  <w:noWrap/>
                  <w:vAlign w:val="center"/>
                </w:tcPr>
                <w:p w14:paraId="7953E5E9">
                  <w:pPr>
                    <w:widowControl/>
                    <w:jc w:val="center"/>
                    <w:textAlignment w:val="center"/>
                    <w:rPr>
                      <w:rFonts w:hint="default" w:ascii="Times New Roman" w:hAnsi="Times New Roman" w:cs="Times New Roman" w:eastAsiaTheme="minorEastAsia"/>
                      <w:color w:val="000000" w:themeColor="text1"/>
                      <w:szCs w:val="21"/>
                      <w:highlight w:val="none"/>
                      <w:u w:val="single"/>
                      <w:lang w:val="zh-CN"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0.059 </w:t>
                  </w:r>
                </w:p>
              </w:tc>
              <w:tc>
                <w:tcPr>
                  <w:tcW w:w="501" w:type="pct"/>
                  <w:shd w:val="clear" w:color="auto" w:fill="auto"/>
                  <w:noWrap/>
                  <w:vAlign w:val="center"/>
                </w:tcPr>
                <w:p w14:paraId="22A82045">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1.225 </w:t>
                  </w:r>
                </w:p>
              </w:tc>
              <w:tc>
                <w:tcPr>
                  <w:tcW w:w="387" w:type="pct"/>
                  <w:shd w:val="clear" w:color="auto" w:fill="auto"/>
                  <w:noWrap/>
                  <w:vAlign w:val="center"/>
                </w:tcPr>
                <w:p w14:paraId="26EABE06">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94</w:t>
                  </w:r>
                </w:p>
              </w:tc>
              <w:tc>
                <w:tcPr>
                  <w:tcW w:w="492" w:type="pct"/>
                  <w:shd w:val="clear" w:color="auto" w:fill="auto"/>
                  <w:noWrap/>
                  <w:vAlign w:val="center"/>
                </w:tcPr>
                <w:p w14:paraId="1688C68C">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0.0036 </w:t>
                  </w:r>
                </w:p>
              </w:tc>
              <w:tc>
                <w:tcPr>
                  <w:tcW w:w="494" w:type="pct"/>
                  <w:shd w:val="clear" w:color="auto" w:fill="auto"/>
                  <w:noWrap/>
                  <w:vAlign w:val="center"/>
                </w:tcPr>
                <w:p w14:paraId="18359E96">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0.004 </w:t>
                  </w:r>
                </w:p>
              </w:tc>
              <w:tc>
                <w:tcPr>
                  <w:tcW w:w="502" w:type="pct"/>
                  <w:shd w:val="clear" w:color="auto" w:fill="auto"/>
                  <w:noWrap/>
                  <w:vAlign w:val="center"/>
                </w:tcPr>
                <w:p w14:paraId="5C119D08">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0.074 </w:t>
                  </w:r>
                </w:p>
              </w:tc>
            </w:tr>
            <w:tr w14:paraId="00637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772FDF5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0298C7F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3A3CAFE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4534912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0.489</w:t>
                  </w:r>
                </w:p>
              </w:tc>
              <w:tc>
                <w:tcPr>
                  <w:tcW w:w="492" w:type="pct"/>
                  <w:shd w:val="clear" w:color="auto" w:fill="auto"/>
                  <w:noWrap/>
                  <w:vAlign w:val="center"/>
                </w:tcPr>
                <w:p w14:paraId="0CB14F0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0.479 </w:t>
                  </w:r>
                </w:p>
              </w:tc>
              <w:tc>
                <w:tcPr>
                  <w:tcW w:w="501" w:type="pct"/>
                  <w:shd w:val="clear" w:color="auto" w:fill="auto"/>
                  <w:noWrap/>
                  <w:vAlign w:val="center"/>
                </w:tcPr>
                <w:p w14:paraId="09325CF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9.988 </w:t>
                  </w:r>
                </w:p>
              </w:tc>
              <w:tc>
                <w:tcPr>
                  <w:tcW w:w="387" w:type="pct"/>
                  <w:shd w:val="clear" w:color="auto" w:fill="auto"/>
                  <w:noWrap/>
                  <w:vAlign w:val="center"/>
                </w:tcPr>
                <w:p w14:paraId="6C2484B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492" w:type="pct"/>
                  <w:shd w:val="clear" w:color="auto" w:fill="auto"/>
                  <w:noWrap/>
                  <w:vAlign w:val="center"/>
                </w:tcPr>
                <w:p w14:paraId="5004EB7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0.0245 </w:t>
                  </w:r>
                </w:p>
              </w:tc>
              <w:tc>
                <w:tcPr>
                  <w:tcW w:w="494" w:type="pct"/>
                  <w:shd w:val="clear" w:color="auto" w:fill="auto"/>
                  <w:noWrap/>
                  <w:vAlign w:val="center"/>
                </w:tcPr>
                <w:p w14:paraId="67C97BC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0.024 </w:t>
                  </w:r>
                </w:p>
              </w:tc>
              <w:tc>
                <w:tcPr>
                  <w:tcW w:w="502" w:type="pct"/>
                  <w:shd w:val="clear" w:color="auto" w:fill="auto"/>
                  <w:noWrap/>
                  <w:vAlign w:val="center"/>
                </w:tcPr>
                <w:p w14:paraId="379F96A8">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0.499 </w:t>
                  </w:r>
                </w:p>
              </w:tc>
            </w:tr>
            <w:tr w14:paraId="11EF2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3100628">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restart"/>
                  <w:shd w:val="clear" w:color="auto" w:fill="auto"/>
                  <w:noWrap/>
                  <w:vAlign w:val="center"/>
                </w:tcPr>
                <w:p w14:paraId="18C8D91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无组织</w:t>
                  </w:r>
                </w:p>
              </w:tc>
              <w:tc>
                <w:tcPr>
                  <w:tcW w:w="757" w:type="pct"/>
                  <w:shd w:val="clear" w:color="auto" w:fill="auto"/>
                  <w:noWrap/>
                  <w:vAlign w:val="center"/>
                </w:tcPr>
                <w:p w14:paraId="6C3E18A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25454EB2">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0.018</w:t>
                  </w:r>
                </w:p>
              </w:tc>
              <w:tc>
                <w:tcPr>
                  <w:tcW w:w="492" w:type="pct"/>
                  <w:shd w:val="clear" w:color="auto" w:fill="auto"/>
                  <w:noWrap/>
                  <w:vAlign w:val="center"/>
                </w:tcPr>
                <w:p w14:paraId="6EE8DA8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0.018 </w:t>
                  </w:r>
                </w:p>
              </w:tc>
              <w:tc>
                <w:tcPr>
                  <w:tcW w:w="501" w:type="pct"/>
                  <w:shd w:val="clear" w:color="auto" w:fill="auto"/>
                  <w:noWrap/>
                  <w:vAlign w:val="center"/>
                </w:tcPr>
                <w:p w14:paraId="761555E5">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2B8D2A0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61912CEC">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0.018</w:t>
                  </w:r>
                </w:p>
              </w:tc>
              <w:tc>
                <w:tcPr>
                  <w:tcW w:w="838" w:type="dxa"/>
                  <w:shd w:val="clear" w:color="auto" w:fill="auto"/>
                  <w:noWrap/>
                  <w:vAlign w:val="center"/>
                </w:tcPr>
                <w:p w14:paraId="19753B4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0.018 </w:t>
                  </w:r>
                </w:p>
              </w:tc>
              <w:tc>
                <w:tcPr>
                  <w:tcW w:w="502" w:type="pct"/>
                  <w:shd w:val="clear" w:color="auto" w:fill="auto"/>
                  <w:noWrap/>
                  <w:vAlign w:val="center"/>
                </w:tcPr>
                <w:p w14:paraId="417072C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2125B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1F9F5A5C">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3F5A35B7">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02CB937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56E4D182">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0.006</w:t>
                  </w:r>
                </w:p>
              </w:tc>
              <w:tc>
                <w:tcPr>
                  <w:tcW w:w="492" w:type="pct"/>
                  <w:shd w:val="clear" w:color="auto" w:fill="auto"/>
                  <w:noWrap/>
                  <w:vAlign w:val="center"/>
                </w:tcPr>
                <w:p w14:paraId="2346588C">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0.006 </w:t>
                  </w:r>
                </w:p>
              </w:tc>
              <w:tc>
                <w:tcPr>
                  <w:tcW w:w="501" w:type="pct"/>
                  <w:shd w:val="clear" w:color="auto" w:fill="auto"/>
                  <w:noWrap/>
                  <w:vAlign w:val="center"/>
                </w:tcPr>
                <w:p w14:paraId="5CBFC80D">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446A88B8">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460BC732">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0.006</w:t>
                  </w:r>
                </w:p>
              </w:tc>
              <w:tc>
                <w:tcPr>
                  <w:tcW w:w="838" w:type="dxa"/>
                  <w:shd w:val="clear" w:color="auto" w:fill="auto"/>
                  <w:noWrap/>
                  <w:vAlign w:val="center"/>
                </w:tcPr>
                <w:p w14:paraId="4CE5A686">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0.006 </w:t>
                  </w:r>
                </w:p>
              </w:tc>
              <w:tc>
                <w:tcPr>
                  <w:tcW w:w="502" w:type="pct"/>
                  <w:shd w:val="clear" w:color="auto" w:fill="auto"/>
                  <w:noWrap/>
                  <w:vAlign w:val="center"/>
                </w:tcPr>
                <w:p w14:paraId="213248F6">
                  <w:pPr>
                    <w:widowControl/>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6424F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3ED7EC2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7C8B53DB">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081CE18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57050AA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0.054</w:t>
                  </w:r>
                </w:p>
              </w:tc>
              <w:tc>
                <w:tcPr>
                  <w:tcW w:w="492" w:type="pct"/>
                  <w:shd w:val="clear" w:color="auto" w:fill="auto"/>
                  <w:noWrap/>
                  <w:vAlign w:val="center"/>
                </w:tcPr>
                <w:p w14:paraId="77777ABE">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0.053 </w:t>
                  </w:r>
                </w:p>
              </w:tc>
              <w:tc>
                <w:tcPr>
                  <w:tcW w:w="501" w:type="pct"/>
                  <w:shd w:val="clear" w:color="auto" w:fill="auto"/>
                  <w:noWrap/>
                  <w:vAlign w:val="center"/>
                </w:tcPr>
                <w:p w14:paraId="3DACBA7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387" w:type="pct"/>
                  <w:shd w:val="clear" w:color="auto" w:fill="auto"/>
                  <w:noWrap/>
                  <w:vAlign w:val="center"/>
                </w:tcPr>
                <w:p w14:paraId="26795ECA">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193627C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0.054</w:t>
                  </w:r>
                </w:p>
              </w:tc>
              <w:tc>
                <w:tcPr>
                  <w:tcW w:w="838" w:type="dxa"/>
                  <w:shd w:val="clear" w:color="auto" w:fill="auto"/>
                  <w:noWrap/>
                  <w:vAlign w:val="center"/>
                </w:tcPr>
                <w:p w14:paraId="4DA0C03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0.053 </w:t>
                  </w:r>
                </w:p>
              </w:tc>
              <w:tc>
                <w:tcPr>
                  <w:tcW w:w="502" w:type="pct"/>
                  <w:shd w:val="clear" w:color="auto" w:fill="auto"/>
                  <w:noWrap/>
                  <w:vAlign w:val="center"/>
                </w:tcPr>
                <w:p w14:paraId="2AFA6C9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70313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0"/>
                  <w:vAlign w:val="center"/>
                </w:tcPr>
                <w:p w14:paraId="7A322137">
                  <w:pPr>
                    <w:widowControl/>
                    <w:adjustRightInd w:val="0"/>
                    <w:snapToGrid w:val="0"/>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eastAsiaTheme="minorEastAsia"/>
                      <w:b/>
                      <w:bCs/>
                      <w:color w:val="000000" w:themeColor="text1"/>
                      <w:szCs w:val="21"/>
                      <w:highlight w:val="none"/>
                      <w:u w:val="single"/>
                      <w14:textFill>
                        <w14:solidFill>
                          <w14:schemeClr w14:val="tx1"/>
                        </w14:solidFill>
                      </w14:textFill>
                    </w:rPr>
                    <w:t>喷漆废气：</w:t>
                  </w:r>
                </w:p>
              </w:tc>
            </w:tr>
            <w:tr w14:paraId="0824B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restart"/>
                  <w:vAlign w:val="center"/>
                </w:tcPr>
                <w:p w14:paraId="2A201E3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现有工程</w:t>
                  </w:r>
                </w:p>
              </w:tc>
              <w:tc>
                <w:tcPr>
                  <w:tcW w:w="378" w:type="pct"/>
                  <w:vMerge w:val="restart"/>
                  <w:shd w:val="clear" w:color="auto" w:fill="auto"/>
                  <w:noWrap/>
                  <w:vAlign w:val="center"/>
                </w:tcPr>
                <w:p w14:paraId="2D32DB4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有组织</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DA</w:t>
                  </w:r>
                </w:p>
                <w:p w14:paraId="1311E87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3</w:t>
                  </w:r>
                </w:p>
              </w:tc>
              <w:tc>
                <w:tcPr>
                  <w:tcW w:w="757" w:type="pct"/>
                  <w:shd w:val="clear" w:color="auto" w:fill="auto"/>
                  <w:noWrap/>
                  <w:vAlign w:val="center"/>
                </w:tcPr>
                <w:p w14:paraId="3110CCC4">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6C8C4E5F">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2.025</w:t>
                  </w:r>
                </w:p>
              </w:tc>
              <w:tc>
                <w:tcPr>
                  <w:tcW w:w="834" w:type="dxa"/>
                  <w:shd w:val="clear" w:color="auto" w:fill="auto"/>
                  <w:noWrap/>
                  <w:vAlign w:val="center"/>
                </w:tcPr>
                <w:p w14:paraId="5DA7842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1.985 </w:t>
                  </w:r>
                </w:p>
              </w:tc>
              <w:tc>
                <w:tcPr>
                  <w:tcW w:w="849" w:type="dxa"/>
                  <w:shd w:val="clear" w:color="auto" w:fill="auto"/>
                  <w:noWrap/>
                  <w:vAlign w:val="center"/>
                </w:tcPr>
                <w:p w14:paraId="7E86A150">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41.360 </w:t>
                  </w:r>
                </w:p>
              </w:tc>
              <w:tc>
                <w:tcPr>
                  <w:tcW w:w="656" w:type="dxa"/>
                  <w:shd w:val="clear" w:color="auto" w:fill="auto"/>
                  <w:noWrap/>
                  <w:vAlign w:val="center"/>
                </w:tcPr>
                <w:p w14:paraId="0DE77AA5">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834" w:type="dxa"/>
                  <w:shd w:val="clear" w:color="auto" w:fill="auto"/>
                  <w:noWrap/>
                  <w:vAlign w:val="center"/>
                </w:tcPr>
                <w:p w14:paraId="0458B3B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0.1013 </w:t>
                  </w:r>
                </w:p>
              </w:tc>
              <w:tc>
                <w:tcPr>
                  <w:tcW w:w="838" w:type="dxa"/>
                  <w:shd w:val="clear" w:color="auto" w:fill="auto"/>
                  <w:noWrap/>
                  <w:vAlign w:val="center"/>
                </w:tcPr>
                <w:p w14:paraId="59F3D1B7">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0.099 </w:t>
                  </w:r>
                </w:p>
              </w:tc>
              <w:tc>
                <w:tcPr>
                  <w:tcW w:w="851" w:type="dxa"/>
                  <w:shd w:val="clear" w:color="auto" w:fill="auto"/>
                  <w:noWrap/>
                  <w:vAlign w:val="center"/>
                </w:tcPr>
                <w:p w14:paraId="79C14FF0">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2.068 </w:t>
                  </w:r>
                </w:p>
              </w:tc>
            </w:tr>
            <w:tr w14:paraId="58599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2A9647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3780F9A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69F6919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333C9D2F">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0.416</w:t>
                  </w:r>
                </w:p>
              </w:tc>
              <w:tc>
                <w:tcPr>
                  <w:tcW w:w="834" w:type="dxa"/>
                  <w:shd w:val="clear" w:color="auto" w:fill="auto"/>
                  <w:noWrap/>
                  <w:vAlign w:val="center"/>
                </w:tcPr>
                <w:p w14:paraId="3766DE8E">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0.408 </w:t>
                  </w:r>
                </w:p>
              </w:tc>
              <w:tc>
                <w:tcPr>
                  <w:tcW w:w="849" w:type="dxa"/>
                  <w:shd w:val="clear" w:color="auto" w:fill="auto"/>
                  <w:noWrap/>
                  <w:vAlign w:val="center"/>
                </w:tcPr>
                <w:p w14:paraId="0074B632">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8.497 </w:t>
                  </w:r>
                </w:p>
              </w:tc>
              <w:tc>
                <w:tcPr>
                  <w:tcW w:w="656" w:type="dxa"/>
                  <w:shd w:val="clear" w:color="auto" w:fill="auto"/>
                  <w:noWrap/>
                  <w:vAlign w:val="center"/>
                </w:tcPr>
                <w:p w14:paraId="187E5004">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94</w:t>
                  </w:r>
                </w:p>
              </w:tc>
              <w:tc>
                <w:tcPr>
                  <w:tcW w:w="834" w:type="dxa"/>
                  <w:shd w:val="clear" w:color="auto" w:fill="auto"/>
                  <w:noWrap/>
                  <w:vAlign w:val="center"/>
                </w:tcPr>
                <w:p w14:paraId="40D0779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0.0250 </w:t>
                  </w:r>
                </w:p>
              </w:tc>
              <w:tc>
                <w:tcPr>
                  <w:tcW w:w="838" w:type="dxa"/>
                  <w:shd w:val="clear" w:color="auto" w:fill="auto"/>
                  <w:noWrap/>
                  <w:vAlign w:val="center"/>
                </w:tcPr>
                <w:p w14:paraId="1889459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0.024 </w:t>
                  </w:r>
                </w:p>
              </w:tc>
              <w:tc>
                <w:tcPr>
                  <w:tcW w:w="851" w:type="dxa"/>
                  <w:shd w:val="clear" w:color="auto" w:fill="auto"/>
                  <w:noWrap/>
                  <w:vAlign w:val="center"/>
                </w:tcPr>
                <w:p w14:paraId="653FB6ED">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0.510 </w:t>
                  </w:r>
                </w:p>
              </w:tc>
            </w:tr>
            <w:tr w14:paraId="0A78B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7F5E508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6044CB12">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4A2F650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1742ADAF">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0.443</w:t>
                  </w:r>
                </w:p>
              </w:tc>
              <w:tc>
                <w:tcPr>
                  <w:tcW w:w="834" w:type="dxa"/>
                  <w:shd w:val="clear" w:color="auto" w:fill="auto"/>
                  <w:noWrap/>
                  <w:vAlign w:val="center"/>
                </w:tcPr>
                <w:p w14:paraId="740DCFA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0.434 </w:t>
                  </w:r>
                </w:p>
              </w:tc>
              <w:tc>
                <w:tcPr>
                  <w:tcW w:w="849" w:type="dxa"/>
                  <w:shd w:val="clear" w:color="auto" w:fill="auto"/>
                  <w:noWrap/>
                  <w:vAlign w:val="center"/>
                </w:tcPr>
                <w:p w14:paraId="50E3A1D7">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9.048 </w:t>
                  </w:r>
                </w:p>
              </w:tc>
              <w:tc>
                <w:tcPr>
                  <w:tcW w:w="656" w:type="dxa"/>
                  <w:shd w:val="clear" w:color="auto" w:fill="auto"/>
                  <w:noWrap/>
                  <w:vAlign w:val="center"/>
                </w:tcPr>
                <w:p w14:paraId="47C4983C">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834" w:type="dxa"/>
                  <w:shd w:val="clear" w:color="auto" w:fill="auto"/>
                  <w:noWrap/>
                  <w:vAlign w:val="center"/>
                </w:tcPr>
                <w:p w14:paraId="5C111B8C">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0.0222 </w:t>
                  </w:r>
                </w:p>
              </w:tc>
              <w:tc>
                <w:tcPr>
                  <w:tcW w:w="838" w:type="dxa"/>
                  <w:shd w:val="clear" w:color="auto" w:fill="auto"/>
                  <w:noWrap/>
                  <w:vAlign w:val="center"/>
                </w:tcPr>
                <w:p w14:paraId="175ABD5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0.022 </w:t>
                  </w:r>
                </w:p>
              </w:tc>
              <w:tc>
                <w:tcPr>
                  <w:tcW w:w="851" w:type="dxa"/>
                  <w:shd w:val="clear" w:color="auto" w:fill="auto"/>
                  <w:noWrap/>
                  <w:vAlign w:val="center"/>
                </w:tcPr>
                <w:p w14:paraId="0F1DEF79">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0.452 </w:t>
                  </w:r>
                </w:p>
              </w:tc>
            </w:tr>
            <w:tr w14:paraId="2DEFE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53526B7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restart"/>
                  <w:shd w:val="clear" w:color="auto" w:fill="auto"/>
                  <w:noWrap/>
                  <w:vAlign w:val="center"/>
                </w:tcPr>
                <w:p w14:paraId="1BF0B10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无组织</w:t>
                  </w:r>
                </w:p>
              </w:tc>
              <w:tc>
                <w:tcPr>
                  <w:tcW w:w="757" w:type="pct"/>
                  <w:shd w:val="clear" w:color="auto" w:fill="auto"/>
                  <w:noWrap/>
                  <w:vAlign w:val="center"/>
                </w:tcPr>
                <w:p w14:paraId="7BC457B8">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572" w:type="pct"/>
                  <w:shd w:val="clear" w:color="auto" w:fill="auto"/>
                  <w:noWrap/>
                  <w:vAlign w:val="center"/>
                </w:tcPr>
                <w:p w14:paraId="3666298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0.225</w:t>
                  </w:r>
                </w:p>
              </w:tc>
              <w:tc>
                <w:tcPr>
                  <w:tcW w:w="834" w:type="dxa"/>
                  <w:shd w:val="clear" w:color="auto" w:fill="auto"/>
                  <w:noWrap/>
                  <w:vAlign w:val="center"/>
                </w:tcPr>
                <w:p w14:paraId="0854DBD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0.221 </w:t>
                  </w:r>
                </w:p>
              </w:tc>
              <w:tc>
                <w:tcPr>
                  <w:tcW w:w="849" w:type="dxa"/>
                  <w:shd w:val="clear" w:color="auto" w:fill="auto"/>
                  <w:noWrap/>
                  <w:vAlign w:val="center"/>
                </w:tcPr>
                <w:p w14:paraId="3A839EBA">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666D1F8F">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03609090">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0.225</w:t>
                  </w:r>
                </w:p>
              </w:tc>
              <w:tc>
                <w:tcPr>
                  <w:tcW w:w="838" w:type="dxa"/>
                  <w:shd w:val="clear" w:color="auto" w:fill="auto"/>
                  <w:noWrap/>
                  <w:vAlign w:val="center"/>
                </w:tcPr>
                <w:p w14:paraId="2A968F19">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0.221 </w:t>
                  </w:r>
                </w:p>
              </w:tc>
              <w:tc>
                <w:tcPr>
                  <w:tcW w:w="851" w:type="dxa"/>
                  <w:shd w:val="clear" w:color="auto" w:fill="auto"/>
                  <w:noWrap/>
                  <w:vAlign w:val="center"/>
                </w:tcPr>
                <w:p w14:paraId="6CFC810E">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7FCB0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669DAB1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49B9C9A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777AEBC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572" w:type="pct"/>
                  <w:shd w:val="clear" w:color="auto" w:fill="auto"/>
                  <w:noWrap/>
                  <w:vAlign w:val="center"/>
                </w:tcPr>
                <w:p w14:paraId="41B33942">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0.046</w:t>
                  </w:r>
                </w:p>
              </w:tc>
              <w:tc>
                <w:tcPr>
                  <w:tcW w:w="834" w:type="dxa"/>
                  <w:shd w:val="clear" w:color="auto" w:fill="auto"/>
                  <w:noWrap/>
                  <w:vAlign w:val="center"/>
                </w:tcPr>
                <w:p w14:paraId="13A8736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0.045 </w:t>
                  </w:r>
                </w:p>
              </w:tc>
              <w:tc>
                <w:tcPr>
                  <w:tcW w:w="849" w:type="dxa"/>
                  <w:shd w:val="clear" w:color="auto" w:fill="auto"/>
                  <w:noWrap/>
                  <w:vAlign w:val="center"/>
                </w:tcPr>
                <w:p w14:paraId="40608C90">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52FD4F19">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5AD0434E">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0.046</w:t>
                  </w:r>
                </w:p>
              </w:tc>
              <w:tc>
                <w:tcPr>
                  <w:tcW w:w="838" w:type="dxa"/>
                  <w:shd w:val="clear" w:color="auto" w:fill="auto"/>
                  <w:noWrap/>
                  <w:vAlign w:val="center"/>
                </w:tcPr>
                <w:p w14:paraId="02B2DD48">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0.045 </w:t>
                  </w:r>
                </w:p>
              </w:tc>
              <w:tc>
                <w:tcPr>
                  <w:tcW w:w="851" w:type="dxa"/>
                  <w:shd w:val="clear" w:color="auto" w:fill="auto"/>
                  <w:noWrap/>
                  <w:vAlign w:val="center"/>
                </w:tcPr>
                <w:p w14:paraId="22DFD3BF">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7B8D0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2C2D95F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6BDDF89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3D97BCD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572" w:type="pct"/>
                  <w:shd w:val="clear" w:color="auto" w:fill="auto"/>
                  <w:noWrap/>
                  <w:vAlign w:val="center"/>
                </w:tcPr>
                <w:p w14:paraId="013425E7">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0.049</w:t>
                  </w:r>
                </w:p>
              </w:tc>
              <w:tc>
                <w:tcPr>
                  <w:tcW w:w="834" w:type="dxa"/>
                  <w:shd w:val="clear" w:color="auto" w:fill="auto"/>
                  <w:noWrap/>
                  <w:vAlign w:val="center"/>
                </w:tcPr>
                <w:p w14:paraId="489EBF52">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0.048 </w:t>
                  </w:r>
                </w:p>
              </w:tc>
              <w:tc>
                <w:tcPr>
                  <w:tcW w:w="849" w:type="dxa"/>
                  <w:shd w:val="clear" w:color="auto" w:fill="auto"/>
                  <w:noWrap/>
                  <w:vAlign w:val="center"/>
                </w:tcPr>
                <w:p w14:paraId="0D1E93AC">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6913D51F">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38E3E379">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0.049</w:t>
                  </w:r>
                </w:p>
              </w:tc>
              <w:tc>
                <w:tcPr>
                  <w:tcW w:w="838" w:type="dxa"/>
                  <w:shd w:val="clear" w:color="auto" w:fill="auto"/>
                  <w:noWrap/>
                  <w:vAlign w:val="center"/>
                </w:tcPr>
                <w:p w14:paraId="199A714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0.048 </w:t>
                  </w:r>
                </w:p>
              </w:tc>
              <w:tc>
                <w:tcPr>
                  <w:tcW w:w="851" w:type="dxa"/>
                  <w:shd w:val="clear" w:color="auto" w:fill="auto"/>
                  <w:noWrap/>
                  <w:vAlign w:val="center"/>
                </w:tcPr>
                <w:p w14:paraId="54F9505E">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20112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restart"/>
                  <w:vAlign w:val="center"/>
                </w:tcPr>
                <w:p w14:paraId="6C0E9587">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设备结构件</w:t>
                  </w:r>
                </w:p>
              </w:tc>
              <w:tc>
                <w:tcPr>
                  <w:tcW w:w="378" w:type="pct"/>
                  <w:vMerge w:val="restart"/>
                  <w:shd w:val="clear" w:color="auto" w:fill="auto"/>
                  <w:noWrap/>
                  <w:vAlign w:val="center"/>
                </w:tcPr>
                <w:p w14:paraId="068B47D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有组织</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DA</w:t>
                  </w:r>
                </w:p>
                <w:p w14:paraId="2850D1D0">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w:t>
                  </w: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3</w:t>
                  </w:r>
                </w:p>
              </w:tc>
              <w:tc>
                <w:tcPr>
                  <w:tcW w:w="757" w:type="pct"/>
                  <w:shd w:val="clear" w:color="auto" w:fill="auto"/>
                  <w:noWrap/>
                  <w:vAlign w:val="center"/>
                </w:tcPr>
                <w:p w14:paraId="3F8DDAF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969" w:type="dxa"/>
                  <w:shd w:val="clear" w:color="auto" w:fill="auto"/>
                  <w:noWrap/>
                  <w:vAlign w:val="center"/>
                </w:tcPr>
                <w:p w14:paraId="40157392">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0.657</w:t>
                  </w:r>
                </w:p>
              </w:tc>
              <w:tc>
                <w:tcPr>
                  <w:tcW w:w="834" w:type="dxa"/>
                  <w:shd w:val="clear" w:color="auto" w:fill="auto"/>
                  <w:noWrap/>
                  <w:vAlign w:val="center"/>
                </w:tcPr>
                <w:p w14:paraId="11FF72F8">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0.644 </w:t>
                  </w:r>
                </w:p>
              </w:tc>
              <w:tc>
                <w:tcPr>
                  <w:tcW w:w="849" w:type="dxa"/>
                  <w:shd w:val="clear" w:color="auto" w:fill="auto"/>
                  <w:noWrap/>
                  <w:vAlign w:val="center"/>
                </w:tcPr>
                <w:p w14:paraId="0FEA6026">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13.419 </w:t>
                  </w:r>
                </w:p>
              </w:tc>
              <w:tc>
                <w:tcPr>
                  <w:tcW w:w="656" w:type="dxa"/>
                  <w:shd w:val="clear" w:color="auto" w:fill="auto"/>
                  <w:noWrap/>
                  <w:vAlign w:val="center"/>
                </w:tcPr>
                <w:p w14:paraId="2D77534B">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834" w:type="dxa"/>
                  <w:shd w:val="clear" w:color="auto" w:fill="auto"/>
                  <w:noWrap/>
                  <w:vAlign w:val="center"/>
                </w:tcPr>
                <w:p w14:paraId="55C334A5">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0.0329 </w:t>
                  </w:r>
                </w:p>
              </w:tc>
              <w:tc>
                <w:tcPr>
                  <w:tcW w:w="838" w:type="dxa"/>
                  <w:shd w:val="clear" w:color="auto" w:fill="auto"/>
                  <w:noWrap/>
                  <w:vAlign w:val="center"/>
                </w:tcPr>
                <w:p w14:paraId="3CC773F6">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0.032 </w:t>
                  </w:r>
                </w:p>
              </w:tc>
              <w:tc>
                <w:tcPr>
                  <w:tcW w:w="851" w:type="dxa"/>
                  <w:shd w:val="clear" w:color="auto" w:fill="auto"/>
                  <w:noWrap/>
                  <w:vAlign w:val="center"/>
                </w:tcPr>
                <w:p w14:paraId="4AB86BEC">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0.671 </w:t>
                  </w:r>
                </w:p>
              </w:tc>
            </w:tr>
            <w:tr w14:paraId="4F93C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4D4AD82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4B53A92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638D64EE">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969" w:type="dxa"/>
                  <w:shd w:val="clear" w:color="auto" w:fill="auto"/>
                  <w:noWrap/>
                  <w:vAlign w:val="center"/>
                </w:tcPr>
                <w:p w14:paraId="4265F2E6">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0.238</w:t>
                  </w:r>
                </w:p>
              </w:tc>
              <w:tc>
                <w:tcPr>
                  <w:tcW w:w="834" w:type="dxa"/>
                  <w:shd w:val="clear" w:color="auto" w:fill="auto"/>
                  <w:noWrap/>
                  <w:vAlign w:val="center"/>
                </w:tcPr>
                <w:p w14:paraId="5C2445BB">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0.233 </w:t>
                  </w:r>
                </w:p>
              </w:tc>
              <w:tc>
                <w:tcPr>
                  <w:tcW w:w="849" w:type="dxa"/>
                  <w:shd w:val="clear" w:color="auto" w:fill="auto"/>
                  <w:noWrap/>
                  <w:vAlign w:val="center"/>
                </w:tcPr>
                <w:p w14:paraId="76941183">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4.861 </w:t>
                  </w:r>
                </w:p>
              </w:tc>
              <w:tc>
                <w:tcPr>
                  <w:tcW w:w="656" w:type="dxa"/>
                  <w:shd w:val="clear" w:color="auto" w:fill="auto"/>
                  <w:noWrap/>
                  <w:vAlign w:val="center"/>
                </w:tcPr>
                <w:p w14:paraId="2970D516">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94</w:t>
                  </w:r>
                </w:p>
              </w:tc>
              <w:tc>
                <w:tcPr>
                  <w:tcW w:w="834" w:type="dxa"/>
                  <w:shd w:val="clear" w:color="auto" w:fill="auto"/>
                  <w:noWrap/>
                  <w:vAlign w:val="center"/>
                </w:tcPr>
                <w:p w14:paraId="68AB88A1">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0.0143 </w:t>
                  </w:r>
                </w:p>
              </w:tc>
              <w:tc>
                <w:tcPr>
                  <w:tcW w:w="838" w:type="dxa"/>
                  <w:shd w:val="clear" w:color="auto" w:fill="auto"/>
                  <w:noWrap/>
                  <w:vAlign w:val="center"/>
                </w:tcPr>
                <w:p w14:paraId="17A567F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0.014 </w:t>
                  </w:r>
                </w:p>
              </w:tc>
              <w:tc>
                <w:tcPr>
                  <w:tcW w:w="851" w:type="dxa"/>
                  <w:shd w:val="clear" w:color="auto" w:fill="auto"/>
                  <w:noWrap/>
                  <w:vAlign w:val="center"/>
                </w:tcPr>
                <w:p w14:paraId="3F91987D">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0.292 </w:t>
                  </w:r>
                </w:p>
              </w:tc>
            </w:tr>
            <w:tr w14:paraId="389A2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73D14672">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3E8879F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14BB46E8">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969" w:type="dxa"/>
                  <w:shd w:val="clear" w:color="auto" w:fill="auto"/>
                  <w:noWrap/>
                  <w:vAlign w:val="center"/>
                </w:tcPr>
                <w:p w14:paraId="6F9BEDC6">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0.489</w:t>
                  </w:r>
                </w:p>
              </w:tc>
              <w:tc>
                <w:tcPr>
                  <w:tcW w:w="834" w:type="dxa"/>
                  <w:shd w:val="clear" w:color="auto" w:fill="auto"/>
                  <w:noWrap/>
                  <w:vAlign w:val="center"/>
                </w:tcPr>
                <w:p w14:paraId="4BFDA74F">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0.479 </w:t>
                  </w:r>
                </w:p>
              </w:tc>
              <w:tc>
                <w:tcPr>
                  <w:tcW w:w="849" w:type="dxa"/>
                  <w:shd w:val="clear" w:color="auto" w:fill="auto"/>
                  <w:noWrap/>
                  <w:vAlign w:val="center"/>
                </w:tcPr>
                <w:p w14:paraId="5D086E92">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9.988 </w:t>
                  </w:r>
                </w:p>
              </w:tc>
              <w:tc>
                <w:tcPr>
                  <w:tcW w:w="656" w:type="dxa"/>
                  <w:shd w:val="clear" w:color="auto" w:fill="auto"/>
                  <w:noWrap/>
                  <w:vAlign w:val="center"/>
                </w:tcPr>
                <w:p w14:paraId="2786ADF5">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95</w:t>
                  </w:r>
                </w:p>
              </w:tc>
              <w:tc>
                <w:tcPr>
                  <w:tcW w:w="834" w:type="dxa"/>
                  <w:shd w:val="clear" w:color="auto" w:fill="auto"/>
                  <w:noWrap/>
                  <w:vAlign w:val="center"/>
                </w:tcPr>
                <w:p w14:paraId="74CC5E73">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0.0245 </w:t>
                  </w:r>
                </w:p>
              </w:tc>
              <w:tc>
                <w:tcPr>
                  <w:tcW w:w="838" w:type="dxa"/>
                  <w:shd w:val="clear" w:color="auto" w:fill="auto"/>
                  <w:noWrap/>
                  <w:vAlign w:val="center"/>
                </w:tcPr>
                <w:p w14:paraId="5F5068CC">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0.024 </w:t>
                  </w:r>
                </w:p>
              </w:tc>
              <w:tc>
                <w:tcPr>
                  <w:tcW w:w="851" w:type="dxa"/>
                  <w:shd w:val="clear" w:color="auto" w:fill="auto"/>
                  <w:noWrap/>
                  <w:vAlign w:val="center"/>
                </w:tcPr>
                <w:p w14:paraId="2AD1403D">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0.499 </w:t>
                  </w:r>
                </w:p>
              </w:tc>
            </w:tr>
            <w:tr w14:paraId="1A05B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DD993BD">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restart"/>
                  <w:shd w:val="clear" w:color="auto" w:fill="auto"/>
                  <w:noWrap/>
                  <w:vAlign w:val="center"/>
                </w:tcPr>
                <w:p w14:paraId="6F057899">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无组织</w:t>
                  </w:r>
                </w:p>
              </w:tc>
              <w:tc>
                <w:tcPr>
                  <w:tcW w:w="757" w:type="pct"/>
                  <w:shd w:val="clear" w:color="auto" w:fill="auto"/>
                  <w:noWrap/>
                  <w:vAlign w:val="center"/>
                </w:tcPr>
                <w:p w14:paraId="3FF0759A">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VOCs</w:t>
                  </w:r>
                </w:p>
              </w:tc>
              <w:tc>
                <w:tcPr>
                  <w:tcW w:w="969" w:type="dxa"/>
                  <w:shd w:val="clear" w:color="auto" w:fill="auto"/>
                  <w:noWrap/>
                  <w:vAlign w:val="center"/>
                </w:tcPr>
                <w:p w14:paraId="06DC5DB4">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0.073</w:t>
                  </w:r>
                </w:p>
              </w:tc>
              <w:tc>
                <w:tcPr>
                  <w:tcW w:w="834" w:type="dxa"/>
                  <w:shd w:val="clear" w:color="auto" w:fill="auto"/>
                  <w:noWrap/>
                  <w:vAlign w:val="center"/>
                </w:tcPr>
                <w:p w14:paraId="4F03842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0.072 </w:t>
                  </w:r>
                </w:p>
              </w:tc>
              <w:tc>
                <w:tcPr>
                  <w:tcW w:w="849" w:type="dxa"/>
                  <w:shd w:val="clear" w:color="auto" w:fill="auto"/>
                  <w:noWrap/>
                  <w:vAlign w:val="center"/>
                </w:tcPr>
                <w:p w14:paraId="54F29E9E">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7ABBFF4B">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193DCFAB">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0.073</w:t>
                  </w:r>
                </w:p>
              </w:tc>
              <w:tc>
                <w:tcPr>
                  <w:tcW w:w="838" w:type="dxa"/>
                  <w:shd w:val="clear" w:color="auto" w:fill="auto"/>
                  <w:noWrap/>
                  <w:vAlign w:val="center"/>
                </w:tcPr>
                <w:p w14:paraId="73548A7E">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0.072 </w:t>
                  </w:r>
                </w:p>
              </w:tc>
              <w:tc>
                <w:tcPr>
                  <w:tcW w:w="851" w:type="dxa"/>
                  <w:shd w:val="clear" w:color="auto" w:fill="auto"/>
                  <w:noWrap/>
                  <w:vAlign w:val="center"/>
                </w:tcPr>
                <w:p w14:paraId="0D51E688">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0C004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679C6EDF">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77565393">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45D1243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二甲苯</w:t>
                  </w:r>
                </w:p>
              </w:tc>
              <w:tc>
                <w:tcPr>
                  <w:tcW w:w="969" w:type="dxa"/>
                  <w:shd w:val="clear" w:color="auto" w:fill="auto"/>
                  <w:noWrap/>
                  <w:vAlign w:val="center"/>
                </w:tcPr>
                <w:p w14:paraId="036633F6">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0.027</w:t>
                  </w:r>
                </w:p>
              </w:tc>
              <w:tc>
                <w:tcPr>
                  <w:tcW w:w="834" w:type="dxa"/>
                  <w:shd w:val="clear" w:color="auto" w:fill="auto"/>
                  <w:noWrap/>
                  <w:vAlign w:val="center"/>
                </w:tcPr>
                <w:p w14:paraId="02E414C6">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0.026 </w:t>
                  </w:r>
                </w:p>
              </w:tc>
              <w:tc>
                <w:tcPr>
                  <w:tcW w:w="849" w:type="dxa"/>
                  <w:shd w:val="clear" w:color="auto" w:fill="auto"/>
                  <w:noWrap/>
                  <w:vAlign w:val="center"/>
                </w:tcPr>
                <w:p w14:paraId="02FDB072">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5966C7F4">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5711B181">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0.027</w:t>
                  </w:r>
                </w:p>
              </w:tc>
              <w:tc>
                <w:tcPr>
                  <w:tcW w:w="838" w:type="dxa"/>
                  <w:shd w:val="clear" w:color="auto" w:fill="auto"/>
                  <w:noWrap/>
                  <w:vAlign w:val="center"/>
                </w:tcPr>
                <w:p w14:paraId="5CD37A34">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0.026 </w:t>
                  </w:r>
                </w:p>
              </w:tc>
              <w:tc>
                <w:tcPr>
                  <w:tcW w:w="851" w:type="dxa"/>
                  <w:shd w:val="clear" w:color="auto" w:fill="auto"/>
                  <w:noWrap/>
                  <w:vAlign w:val="center"/>
                </w:tcPr>
                <w:p w14:paraId="3803FCA6">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r w14:paraId="28738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2590211">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378" w:type="pct"/>
                  <w:vMerge w:val="continue"/>
                  <w:shd w:val="clear" w:color="auto" w:fill="auto"/>
                  <w:noWrap/>
                  <w:vAlign w:val="center"/>
                </w:tcPr>
                <w:p w14:paraId="2BB0E546">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p>
              </w:tc>
              <w:tc>
                <w:tcPr>
                  <w:tcW w:w="757" w:type="pct"/>
                  <w:shd w:val="clear" w:color="auto" w:fill="auto"/>
                  <w:noWrap/>
                  <w:vAlign w:val="center"/>
                </w:tcPr>
                <w:p w14:paraId="3C587085">
                  <w:pPr>
                    <w:widowControl/>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颗粒物</w:t>
                  </w:r>
                </w:p>
              </w:tc>
              <w:tc>
                <w:tcPr>
                  <w:tcW w:w="969" w:type="dxa"/>
                  <w:shd w:val="clear" w:color="auto" w:fill="auto"/>
                  <w:noWrap/>
                  <w:vAlign w:val="center"/>
                </w:tcPr>
                <w:p w14:paraId="27E170B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0.054</w:t>
                  </w:r>
                </w:p>
              </w:tc>
              <w:tc>
                <w:tcPr>
                  <w:tcW w:w="834" w:type="dxa"/>
                  <w:shd w:val="clear" w:color="auto" w:fill="auto"/>
                  <w:noWrap/>
                  <w:vAlign w:val="center"/>
                </w:tcPr>
                <w:p w14:paraId="0EAED502">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0.053 </w:t>
                  </w:r>
                </w:p>
              </w:tc>
              <w:tc>
                <w:tcPr>
                  <w:tcW w:w="849" w:type="dxa"/>
                  <w:shd w:val="clear" w:color="auto" w:fill="auto"/>
                  <w:noWrap/>
                  <w:vAlign w:val="center"/>
                </w:tcPr>
                <w:p w14:paraId="642E791A">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656" w:type="dxa"/>
                  <w:shd w:val="clear" w:color="auto" w:fill="auto"/>
                  <w:noWrap/>
                  <w:vAlign w:val="center"/>
                </w:tcPr>
                <w:p w14:paraId="65E8D04E">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c>
                <w:tcPr>
                  <w:tcW w:w="834" w:type="dxa"/>
                  <w:shd w:val="clear" w:color="auto" w:fill="auto"/>
                  <w:noWrap/>
                  <w:vAlign w:val="center"/>
                </w:tcPr>
                <w:p w14:paraId="2F8C35D3">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0.054</w:t>
                  </w:r>
                </w:p>
              </w:tc>
              <w:tc>
                <w:tcPr>
                  <w:tcW w:w="838" w:type="dxa"/>
                  <w:shd w:val="clear" w:color="auto" w:fill="auto"/>
                  <w:noWrap/>
                  <w:vAlign w:val="center"/>
                </w:tcPr>
                <w:p w14:paraId="30F9B24D">
                  <w:pPr>
                    <w:widowControl/>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 xml:space="preserve">0.053 </w:t>
                  </w:r>
                </w:p>
              </w:tc>
              <w:tc>
                <w:tcPr>
                  <w:tcW w:w="851" w:type="dxa"/>
                  <w:shd w:val="clear" w:color="auto" w:fill="auto"/>
                  <w:noWrap/>
                  <w:vAlign w:val="center"/>
                </w:tcPr>
                <w:p w14:paraId="7639F4DC">
                  <w:pPr>
                    <w:widowControl/>
                    <w:jc w:val="center"/>
                    <w:textAlignment w:val="cente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w:t>
                  </w:r>
                </w:p>
              </w:tc>
            </w:tr>
          </w:tbl>
          <w:p w14:paraId="723437AB">
            <w:pPr>
              <w:rPr>
                <w:rFonts w:hint="default" w:ascii="Times New Roman" w:hAnsi="Times New Roman" w:cs="Times New Roman"/>
                <w:color w:val="000000" w:themeColor="text1"/>
                <w:highlight w:val="none"/>
                <w14:textFill>
                  <w14:solidFill>
                    <w14:schemeClr w14:val="tx1"/>
                  </w14:solidFill>
                </w14:textFill>
              </w:rPr>
            </w:pPr>
          </w:p>
          <w:p w14:paraId="58488D03">
            <w:pPr>
              <w:widowControl/>
              <w:adjustRightInd w:val="0"/>
              <w:snapToGrid w:val="0"/>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表4-1</w:t>
            </w:r>
            <w:r>
              <w:rPr>
                <w:rFonts w:hint="default" w:ascii="Times New Roman" w:hAnsi="Times New Roman" w:eastAsia="黑体" w:cs="Times New Roman"/>
                <w:b/>
                <w:bCs/>
                <w:color w:val="000000" w:themeColor="text1"/>
                <w:highlight w:val="none"/>
                <w14:textFill>
                  <w14:solidFill>
                    <w14:schemeClr w14:val="tx1"/>
                  </w14:solidFill>
                </w14:textFill>
              </w:rPr>
              <w:t>4</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项目有组织废气产排情况一览表</w:t>
            </w:r>
          </w:p>
          <w:tbl>
            <w:tblPr>
              <w:tblStyle w:val="34"/>
              <w:tblW w:w="49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734"/>
              <w:gridCol w:w="824"/>
              <w:gridCol w:w="808"/>
              <w:gridCol w:w="606"/>
              <w:gridCol w:w="640"/>
              <w:gridCol w:w="1636"/>
              <w:gridCol w:w="1052"/>
              <w:gridCol w:w="550"/>
              <w:gridCol w:w="516"/>
              <w:gridCol w:w="518"/>
            </w:tblGrid>
            <w:tr w14:paraId="3FA05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vMerge w:val="restart"/>
                  <w:vAlign w:val="center"/>
                </w:tcPr>
                <w:p w14:paraId="72568986">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产污环节</w:t>
                  </w:r>
                </w:p>
              </w:tc>
              <w:tc>
                <w:tcPr>
                  <w:tcW w:w="824" w:type="dxa"/>
                  <w:vMerge w:val="restart"/>
                  <w:vAlign w:val="center"/>
                </w:tcPr>
                <w:p w14:paraId="7CE6C6EC">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污染物种类</w:t>
                  </w:r>
                </w:p>
              </w:tc>
              <w:tc>
                <w:tcPr>
                  <w:tcW w:w="2054" w:type="dxa"/>
                  <w:gridSpan w:val="3"/>
                  <w:vAlign w:val="center"/>
                </w:tcPr>
                <w:p w14:paraId="3C6A45A5">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污染物产生情况</w:t>
                  </w:r>
                </w:p>
              </w:tc>
              <w:tc>
                <w:tcPr>
                  <w:tcW w:w="2688" w:type="dxa"/>
                  <w:gridSpan w:val="2"/>
                  <w:vAlign w:val="center"/>
                </w:tcPr>
                <w:p w14:paraId="53FE92CC">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治理设施情况</w:t>
                  </w:r>
                </w:p>
              </w:tc>
              <w:tc>
                <w:tcPr>
                  <w:tcW w:w="1584" w:type="dxa"/>
                  <w:gridSpan w:val="3"/>
                  <w:vAlign w:val="center"/>
                </w:tcPr>
                <w:p w14:paraId="68527D5D">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污染物排放情况</w:t>
                  </w:r>
                </w:p>
              </w:tc>
            </w:tr>
            <w:tr w14:paraId="54E90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vMerge w:val="continue"/>
                  <w:vAlign w:val="center"/>
                </w:tcPr>
                <w:p w14:paraId="042F82D9">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p>
              </w:tc>
              <w:tc>
                <w:tcPr>
                  <w:tcW w:w="824" w:type="dxa"/>
                  <w:vMerge w:val="continue"/>
                  <w:vAlign w:val="center"/>
                </w:tcPr>
                <w:p w14:paraId="2DBB656C">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p>
              </w:tc>
              <w:tc>
                <w:tcPr>
                  <w:tcW w:w="808" w:type="dxa"/>
                  <w:vAlign w:val="center"/>
                </w:tcPr>
                <w:p w14:paraId="092EA89E">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产生/收集量</w:t>
                  </w:r>
                </w:p>
                <w:p w14:paraId="5E077AB5">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t/a</w:t>
                  </w:r>
                </w:p>
              </w:tc>
              <w:tc>
                <w:tcPr>
                  <w:tcW w:w="606" w:type="dxa"/>
                  <w:vAlign w:val="center"/>
                </w:tcPr>
                <w:p w14:paraId="5FFB4C44">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w:t>
                  </w:r>
                </w:p>
                <w:p w14:paraId="46A9B6BA">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kg/h</w:t>
                  </w:r>
                </w:p>
              </w:tc>
              <w:tc>
                <w:tcPr>
                  <w:tcW w:w="640" w:type="dxa"/>
                  <w:vAlign w:val="center"/>
                </w:tcPr>
                <w:p w14:paraId="77D3D83B">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w:t>
                  </w:r>
                </w:p>
                <w:p w14:paraId="151B4766">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c>
                <w:tcPr>
                  <w:tcW w:w="1636" w:type="dxa"/>
                  <w:vAlign w:val="center"/>
                </w:tcPr>
                <w:p w14:paraId="528EC030">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治理措施</w:t>
                  </w:r>
                </w:p>
              </w:tc>
              <w:tc>
                <w:tcPr>
                  <w:tcW w:w="1052" w:type="dxa"/>
                  <w:vAlign w:val="center"/>
                </w:tcPr>
                <w:p w14:paraId="496FCAC0">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治理效率</w:t>
                  </w:r>
                </w:p>
              </w:tc>
              <w:tc>
                <w:tcPr>
                  <w:tcW w:w="550" w:type="dxa"/>
                  <w:vAlign w:val="center"/>
                </w:tcPr>
                <w:p w14:paraId="60C2155E">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排放量</w:t>
                  </w:r>
                </w:p>
                <w:p w14:paraId="10BAAD63">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t/a</w:t>
                  </w:r>
                </w:p>
              </w:tc>
              <w:tc>
                <w:tcPr>
                  <w:tcW w:w="516" w:type="dxa"/>
                  <w:vAlign w:val="center"/>
                </w:tcPr>
                <w:p w14:paraId="649A7A91">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速率</w:t>
                  </w:r>
                </w:p>
                <w:p w14:paraId="155CF115">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kg/h</w:t>
                  </w:r>
                </w:p>
              </w:tc>
              <w:tc>
                <w:tcPr>
                  <w:tcW w:w="518" w:type="dxa"/>
                  <w:vAlign w:val="center"/>
                </w:tcPr>
                <w:p w14:paraId="29997564">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浓度</w:t>
                  </w:r>
                </w:p>
                <w:p w14:paraId="7F395118">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mg/m</w:t>
                  </w:r>
                  <w:r>
                    <w:rPr>
                      <w:rFonts w:hint="default" w:ascii="Times New Roman" w:hAnsi="Times New Roman" w:cs="Times New Roman" w:eastAsiaTheme="minorEastAsia"/>
                      <w:color w:val="000000" w:themeColor="text1"/>
                      <w:szCs w:val="21"/>
                      <w:highlight w:val="none"/>
                      <w:vertAlign w:val="superscript"/>
                      <w14:textFill>
                        <w14:solidFill>
                          <w14:schemeClr w14:val="tx1"/>
                        </w14:solidFill>
                      </w14:textFill>
                    </w:rPr>
                    <w:t>3</w:t>
                  </w:r>
                </w:p>
              </w:tc>
            </w:tr>
            <w:tr w14:paraId="61790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shd w:val="clear" w:color="auto" w:fill="auto"/>
                  <w:vAlign w:val="center"/>
                </w:tcPr>
                <w:p w14:paraId="0B023B9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等离子切割下料粉尘</w:t>
                  </w:r>
                </w:p>
              </w:tc>
              <w:tc>
                <w:tcPr>
                  <w:tcW w:w="824" w:type="dxa"/>
                  <w:vAlign w:val="center"/>
                </w:tcPr>
                <w:p w14:paraId="6FB406E2">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808" w:type="dxa"/>
                  <w:vAlign w:val="center"/>
                </w:tcPr>
                <w:p w14:paraId="68790ACE">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1.782</w:t>
                  </w:r>
                </w:p>
              </w:tc>
              <w:tc>
                <w:tcPr>
                  <w:tcW w:w="606" w:type="dxa"/>
                  <w:vAlign w:val="center"/>
                </w:tcPr>
                <w:p w14:paraId="06A060A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0.891</w:t>
                  </w:r>
                </w:p>
              </w:tc>
              <w:tc>
                <w:tcPr>
                  <w:tcW w:w="640" w:type="dxa"/>
                  <w:vAlign w:val="center"/>
                </w:tcPr>
                <w:p w14:paraId="51A9662C">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44.55</w:t>
                  </w:r>
                </w:p>
              </w:tc>
              <w:tc>
                <w:tcPr>
                  <w:tcW w:w="1636" w:type="dxa"/>
                  <w:vAlign w:val="center"/>
                </w:tcPr>
                <w:p w14:paraId="6AC18EF5">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集气罩+布袋除尘+</w:t>
                  </w:r>
                  <w:r>
                    <w:rPr>
                      <w:rFonts w:hint="default" w:ascii="Times New Roman" w:hAnsi="Times New Roman" w:cs="Times New Roman" w:eastAsiaTheme="minorEastAsia"/>
                      <w:color w:val="000000" w:themeColor="text1"/>
                      <w:kern w:val="2"/>
                      <w:szCs w:val="21"/>
                      <w:highlight w:val="none"/>
                      <w:lang w:bidi="zh-CN"/>
                      <w14:textFill>
                        <w14:solidFill>
                          <w14:schemeClr w14:val="tx1"/>
                        </w14:solidFill>
                      </w14:textFill>
                    </w:rPr>
                    <w:t>15m高排气筒（</w:t>
                  </w: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DA001）</w:t>
                  </w:r>
                </w:p>
              </w:tc>
              <w:tc>
                <w:tcPr>
                  <w:tcW w:w="1052" w:type="dxa"/>
                  <w:vAlign w:val="center"/>
                </w:tcPr>
                <w:p w14:paraId="1E963934">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布袋除尘95%</w:t>
                  </w:r>
                </w:p>
              </w:tc>
              <w:tc>
                <w:tcPr>
                  <w:tcW w:w="550" w:type="dxa"/>
                  <w:vAlign w:val="center"/>
                </w:tcPr>
                <w:p w14:paraId="041D3E76">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0.089</w:t>
                  </w:r>
                </w:p>
              </w:tc>
              <w:tc>
                <w:tcPr>
                  <w:tcW w:w="516" w:type="dxa"/>
                  <w:vAlign w:val="center"/>
                </w:tcPr>
                <w:p w14:paraId="70F1DBAD">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0.037</w:t>
                  </w:r>
                </w:p>
              </w:tc>
              <w:tc>
                <w:tcPr>
                  <w:tcW w:w="518" w:type="dxa"/>
                  <w:vAlign w:val="center"/>
                </w:tcPr>
                <w:p w14:paraId="09857F80">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1.85</w:t>
                  </w:r>
                </w:p>
              </w:tc>
            </w:tr>
            <w:tr w14:paraId="77D97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3" w:type="dxa"/>
                  <w:vAlign w:val="center"/>
                </w:tcPr>
                <w:p w14:paraId="7B9572EB">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预处理</w:t>
                  </w:r>
                </w:p>
              </w:tc>
              <w:tc>
                <w:tcPr>
                  <w:tcW w:w="734" w:type="dxa"/>
                  <w:vAlign w:val="center"/>
                </w:tcPr>
                <w:p w14:paraId="2F66A313">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抛丸</w:t>
                  </w:r>
                </w:p>
              </w:tc>
              <w:tc>
                <w:tcPr>
                  <w:tcW w:w="824" w:type="dxa"/>
                  <w:vAlign w:val="center"/>
                </w:tcPr>
                <w:p w14:paraId="0F8AD391">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颗粒物</w:t>
                  </w:r>
                </w:p>
              </w:tc>
              <w:tc>
                <w:tcPr>
                  <w:tcW w:w="808" w:type="dxa"/>
                  <w:vAlign w:val="center"/>
                </w:tcPr>
                <w:p w14:paraId="5BE315F9">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3.942</w:t>
                  </w:r>
                </w:p>
              </w:tc>
              <w:tc>
                <w:tcPr>
                  <w:tcW w:w="606" w:type="dxa"/>
                  <w:vAlign w:val="center"/>
                </w:tcPr>
                <w:p w14:paraId="31CEE96B">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1.64</w:t>
                  </w:r>
                </w:p>
              </w:tc>
              <w:tc>
                <w:tcPr>
                  <w:tcW w:w="640" w:type="dxa"/>
                  <w:vAlign w:val="center"/>
                </w:tcPr>
                <w:p w14:paraId="69DD804A">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8.2</w:t>
                  </w:r>
                </w:p>
              </w:tc>
              <w:tc>
                <w:tcPr>
                  <w:tcW w:w="1636" w:type="dxa"/>
                  <w:vAlign w:val="center"/>
                </w:tcPr>
                <w:p w14:paraId="718F8F97">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布袋除尘+15m高排气筒（DA002）</w:t>
                  </w:r>
                </w:p>
              </w:tc>
              <w:tc>
                <w:tcPr>
                  <w:tcW w:w="1052" w:type="dxa"/>
                  <w:vAlign w:val="center"/>
                </w:tcPr>
                <w:p w14:paraId="2B848599">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布袋除尘95%</w:t>
                  </w:r>
                </w:p>
              </w:tc>
              <w:tc>
                <w:tcPr>
                  <w:tcW w:w="550" w:type="dxa"/>
                  <w:vAlign w:val="center"/>
                </w:tcPr>
                <w:p w14:paraId="16060E3C">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0.202</w:t>
                  </w:r>
                </w:p>
              </w:tc>
              <w:tc>
                <w:tcPr>
                  <w:tcW w:w="516" w:type="dxa"/>
                  <w:vAlign w:val="center"/>
                </w:tcPr>
                <w:p w14:paraId="015CCA80">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0.084</w:t>
                  </w:r>
                </w:p>
              </w:tc>
              <w:tc>
                <w:tcPr>
                  <w:tcW w:w="518" w:type="dxa"/>
                  <w:vAlign w:val="center"/>
                </w:tcPr>
                <w:p w14:paraId="5FD1348A">
                  <w:pPr>
                    <w:autoSpaceDE w:val="0"/>
                    <w:autoSpaceDN w:val="0"/>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4.2</w:t>
                  </w:r>
                </w:p>
              </w:tc>
            </w:tr>
            <w:tr w14:paraId="3CEEB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vMerge w:val="restart"/>
                  <w:vAlign w:val="center"/>
                </w:tcPr>
                <w:p w14:paraId="6D2F5426">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喷漆</w:t>
                  </w:r>
                  <w:r>
                    <w:rPr>
                      <w:rFonts w:hint="default" w:ascii="Times New Roman" w:hAnsi="Times New Roman" w:cs="Times New Roman"/>
                      <w:color w:val="000000" w:themeColor="text1"/>
                      <w:kern w:val="2"/>
                      <w:szCs w:val="21"/>
                      <w:highlight w:val="none"/>
                      <w:u w:val="single"/>
                      <w14:textFill>
                        <w14:solidFill>
                          <w14:schemeClr w14:val="tx1"/>
                        </w14:solidFill>
                      </w14:textFill>
                    </w:rPr>
                    <w:t>烘干</w:t>
                  </w:r>
                </w:p>
              </w:tc>
              <w:tc>
                <w:tcPr>
                  <w:tcW w:w="824" w:type="dxa"/>
                  <w:vAlign w:val="center"/>
                </w:tcPr>
                <w:p w14:paraId="4BBC21ED">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VOCs</w:t>
                  </w:r>
                </w:p>
              </w:tc>
              <w:tc>
                <w:tcPr>
                  <w:tcW w:w="808" w:type="dxa"/>
                  <w:vAlign w:val="center"/>
                </w:tcPr>
                <w:p w14:paraId="0B6E5F23">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3.353</w:t>
                  </w:r>
                </w:p>
              </w:tc>
              <w:tc>
                <w:tcPr>
                  <w:tcW w:w="606" w:type="dxa"/>
                  <w:vAlign w:val="center"/>
                </w:tcPr>
                <w:p w14:paraId="2444739E">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3.287</w:t>
                  </w:r>
                </w:p>
              </w:tc>
              <w:tc>
                <w:tcPr>
                  <w:tcW w:w="640" w:type="dxa"/>
                  <w:vAlign w:val="center"/>
                </w:tcPr>
                <w:p w14:paraId="71144D30">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68.47</w:t>
                  </w:r>
                </w:p>
              </w:tc>
              <w:tc>
                <w:tcPr>
                  <w:tcW w:w="1636" w:type="dxa"/>
                  <w:vMerge w:val="restart"/>
                  <w:vAlign w:val="center"/>
                </w:tcPr>
                <w:p w14:paraId="32E20DA5">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水喷淋+干式过滤器+活性炭吸附/脱附+催化燃烧+15m高排气筒（DA00</w:t>
                  </w:r>
                  <w:r>
                    <w:rPr>
                      <w:rFonts w:hint="default" w:ascii="Times New Roman" w:hAnsi="Times New Roman" w:cs="Times New Roman"/>
                      <w:color w:val="000000" w:themeColor="text1"/>
                      <w:kern w:val="2"/>
                      <w:szCs w:val="21"/>
                      <w:highlight w:val="none"/>
                      <w:u w:val="single"/>
                      <w14:textFill>
                        <w14:solidFill>
                          <w14:schemeClr w14:val="tx1"/>
                        </w14:solidFill>
                      </w14:textFill>
                    </w:rPr>
                    <w:t>3</w:t>
                  </w:r>
                  <w:r>
                    <w:rPr>
                      <w:rFonts w:hint="default" w:ascii="Times New Roman" w:hAnsi="Times New Roman" w:cs="Times New Roman"/>
                      <w:color w:val="000000" w:themeColor="text1"/>
                      <w:kern w:val="2"/>
                      <w:szCs w:val="21"/>
                      <w:highlight w:val="none"/>
                      <w:u w:val="single"/>
                      <w14:textFill>
                        <w14:solidFill>
                          <w14:schemeClr w14:val="tx1"/>
                        </w14:solidFill>
                      </w14:textFill>
                    </w:rPr>
                    <w:t>）</w:t>
                  </w:r>
                </w:p>
              </w:tc>
              <w:tc>
                <w:tcPr>
                  <w:tcW w:w="1052" w:type="dxa"/>
                  <w:vMerge w:val="restart"/>
                  <w:vAlign w:val="center"/>
                </w:tcPr>
                <w:p w14:paraId="2532394D">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颗粒物去除率95%，VOCs去除率95%，二甲苯去除率94%</w:t>
                  </w:r>
                </w:p>
              </w:tc>
              <w:tc>
                <w:tcPr>
                  <w:tcW w:w="550" w:type="dxa"/>
                  <w:vAlign w:val="center"/>
                </w:tcPr>
                <w:p w14:paraId="12CD07F5">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0.167</w:t>
                  </w:r>
                </w:p>
              </w:tc>
              <w:tc>
                <w:tcPr>
                  <w:tcW w:w="516" w:type="dxa"/>
                  <w:vAlign w:val="center"/>
                </w:tcPr>
                <w:p w14:paraId="5EB6F255">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0.164</w:t>
                  </w:r>
                </w:p>
              </w:tc>
              <w:tc>
                <w:tcPr>
                  <w:tcW w:w="518" w:type="dxa"/>
                  <w:vAlign w:val="center"/>
                </w:tcPr>
                <w:p w14:paraId="2B7B86CA">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3.42</w:t>
                  </w:r>
                </w:p>
              </w:tc>
            </w:tr>
            <w:tr w14:paraId="35435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vMerge w:val="continue"/>
                  <w:vAlign w:val="center"/>
                </w:tcPr>
                <w:p w14:paraId="2D63F67D">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824" w:type="dxa"/>
                  <w:vAlign w:val="center"/>
                </w:tcPr>
                <w:p w14:paraId="6EF3DF9E">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二甲苯</w:t>
                  </w:r>
                </w:p>
              </w:tc>
              <w:tc>
                <w:tcPr>
                  <w:tcW w:w="808" w:type="dxa"/>
                  <w:vAlign w:val="center"/>
                </w:tcPr>
                <w:p w14:paraId="1CD691CF">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lang w:bidi="zh-CN"/>
                      <w14:textFill>
                        <w14:solidFill>
                          <w14:schemeClr w14:val="tx1"/>
                        </w14:solidFill>
                      </w14:textFill>
                    </w:rPr>
                    <w:t>0.817</w:t>
                  </w:r>
                </w:p>
              </w:tc>
              <w:tc>
                <w:tcPr>
                  <w:tcW w:w="606" w:type="dxa"/>
                  <w:vAlign w:val="center"/>
                </w:tcPr>
                <w:p w14:paraId="6EA46AC4">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lang w:bidi="zh-CN"/>
                      <w14:textFill>
                        <w14:solidFill>
                          <w14:schemeClr w14:val="tx1"/>
                        </w14:solidFill>
                      </w14:textFill>
                    </w:rPr>
                    <w:t>0.801</w:t>
                  </w:r>
                </w:p>
              </w:tc>
              <w:tc>
                <w:tcPr>
                  <w:tcW w:w="640" w:type="dxa"/>
                  <w:vAlign w:val="center"/>
                </w:tcPr>
                <w:p w14:paraId="34A0E6BA">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lang w:bidi="zh-CN"/>
                      <w14:textFill>
                        <w14:solidFill>
                          <w14:schemeClr w14:val="tx1"/>
                        </w14:solidFill>
                      </w14:textFill>
                    </w:rPr>
                    <w:t>17.02</w:t>
                  </w:r>
                </w:p>
              </w:tc>
              <w:tc>
                <w:tcPr>
                  <w:tcW w:w="1636" w:type="dxa"/>
                  <w:vMerge w:val="continue"/>
                  <w:vAlign w:val="center"/>
                </w:tcPr>
                <w:p w14:paraId="1BC03B6C">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052" w:type="dxa"/>
                  <w:vMerge w:val="continue"/>
                  <w:vAlign w:val="center"/>
                </w:tcPr>
                <w:p w14:paraId="38B46D82">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550" w:type="dxa"/>
                  <w:vAlign w:val="center"/>
                </w:tcPr>
                <w:p w14:paraId="7CD9F4CE">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0.033</w:t>
                  </w:r>
                </w:p>
              </w:tc>
              <w:tc>
                <w:tcPr>
                  <w:tcW w:w="516" w:type="dxa"/>
                  <w:vAlign w:val="center"/>
                </w:tcPr>
                <w:p w14:paraId="50918835">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0.032</w:t>
                  </w:r>
                </w:p>
              </w:tc>
              <w:tc>
                <w:tcPr>
                  <w:tcW w:w="518" w:type="dxa"/>
                  <w:vAlign w:val="center"/>
                </w:tcPr>
                <w:p w14:paraId="7A233F61">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0.66</w:t>
                  </w:r>
                </w:p>
              </w:tc>
            </w:tr>
            <w:tr w14:paraId="30612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97" w:type="dxa"/>
                  <w:gridSpan w:val="2"/>
                  <w:vMerge w:val="continue"/>
                  <w:vAlign w:val="center"/>
                </w:tcPr>
                <w:p w14:paraId="743438EF">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824" w:type="dxa"/>
                  <w:vAlign w:val="center"/>
                </w:tcPr>
                <w:p w14:paraId="12791C11">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颗粒物</w:t>
                  </w:r>
                </w:p>
              </w:tc>
              <w:tc>
                <w:tcPr>
                  <w:tcW w:w="808" w:type="dxa"/>
                  <w:vAlign w:val="center"/>
                </w:tcPr>
                <w:p w14:paraId="4B3679BD">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0.932</w:t>
                  </w:r>
                </w:p>
              </w:tc>
              <w:tc>
                <w:tcPr>
                  <w:tcW w:w="606" w:type="dxa"/>
                  <w:vAlign w:val="center"/>
                </w:tcPr>
                <w:p w14:paraId="03E91F08">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0.913</w:t>
                  </w:r>
                </w:p>
              </w:tc>
              <w:tc>
                <w:tcPr>
                  <w:tcW w:w="640" w:type="dxa"/>
                  <w:vAlign w:val="center"/>
                </w:tcPr>
                <w:p w14:paraId="21582171">
                  <w:pPr>
                    <w:widowControl/>
                    <w:adjustRightInd w:val="0"/>
                    <w:snapToGrid w:val="0"/>
                    <w:ind w:left="-105" w:leftChars="-50" w:right="-105" w:rightChars="-5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19.02</w:t>
                  </w:r>
                </w:p>
              </w:tc>
              <w:tc>
                <w:tcPr>
                  <w:tcW w:w="1636" w:type="dxa"/>
                  <w:vMerge w:val="continue"/>
                  <w:vAlign w:val="center"/>
                </w:tcPr>
                <w:p w14:paraId="4D07B3FB">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052" w:type="dxa"/>
                  <w:vMerge w:val="continue"/>
                  <w:vAlign w:val="center"/>
                </w:tcPr>
                <w:p w14:paraId="3B908C69">
                  <w:pPr>
                    <w:pStyle w:val="58"/>
                    <w:autoSpaceDE w:val="0"/>
                    <w:autoSpaceDN w:val="0"/>
                    <w:spacing w:beforeLines="0" w:afterLines="0" w:line="240" w:lineRule="auto"/>
                    <w:ind w:left="-105" w:leftChars="-50" w:right="-105" w:rightChars="-50"/>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550" w:type="dxa"/>
                  <w:shd w:val="clear" w:color="auto" w:fill="auto"/>
                  <w:vAlign w:val="center"/>
                </w:tcPr>
                <w:p w14:paraId="33676506">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0.047</w:t>
                  </w:r>
                </w:p>
              </w:tc>
              <w:tc>
                <w:tcPr>
                  <w:tcW w:w="516" w:type="dxa"/>
                  <w:vAlign w:val="center"/>
                </w:tcPr>
                <w:p w14:paraId="209B5898">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0.046</w:t>
                  </w:r>
                </w:p>
              </w:tc>
              <w:tc>
                <w:tcPr>
                  <w:tcW w:w="518" w:type="dxa"/>
                  <w:vAlign w:val="center"/>
                </w:tcPr>
                <w:p w14:paraId="02A288A7">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0.95</w:t>
                  </w:r>
                </w:p>
              </w:tc>
            </w:tr>
          </w:tbl>
          <w:p w14:paraId="1973369A">
            <w:pPr>
              <w:widowControl/>
              <w:adjustRightInd w:val="0"/>
              <w:snapToGrid w:val="0"/>
              <w:jc w:val="center"/>
              <w:rPr>
                <w:rFonts w:hint="default" w:ascii="Times New Roman" w:hAnsi="Times New Roman" w:eastAsia="黑体" w:cs="Times New Roman"/>
                <w:b/>
                <w:bCs/>
                <w:color w:val="000000" w:themeColor="text1"/>
                <w:highlight w:val="none"/>
                <w14:textFill>
                  <w14:solidFill>
                    <w14:schemeClr w14:val="tx1"/>
                  </w14:solidFill>
                </w14:textFill>
              </w:rPr>
            </w:pPr>
          </w:p>
          <w:p w14:paraId="74026B7D">
            <w:pPr>
              <w:widowControl/>
              <w:adjustRightInd w:val="0"/>
              <w:snapToGrid w:val="0"/>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表4-1</w:t>
            </w:r>
            <w:r>
              <w:rPr>
                <w:rFonts w:hint="default" w:ascii="Times New Roman" w:hAnsi="Times New Roman" w:eastAsia="黑体" w:cs="Times New Roman"/>
                <w:b/>
                <w:bCs/>
                <w:color w:val="000000" w:themeColor="text1"/>
                <w:highlight w:val="none"/>
                <w14:textFill>
                  <w14:solidFill>
                    <w14:schemeClr w14:val="tx1"/>
                  </w14:solidFill>
                </w14:textFill>
              </w:rPr>
              <w:t>5</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项目无组织废气产排情况一览表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7"/>
              <w:gridCol w:w="890"/>
              <w:gridCol w:w="1019"/>
              <w:gridCol w:w="931"/>
              <w:gridCol w:w="850"/>
              <w:gridCol w:w="1888"/>
              <w:gridCol w:w="1324"/>
              <w:gridCol w:w="1209"/>
            </w:tblGrid>
            <w:tr w14:paraId="2BC45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35" w:type="pct"/>
                  <w:gridSpan w:val="2"/>
                  <w:vMerge w:val="restart"/>
                  <w:vAlign w:val="center"/>
                </w:tcPr>
                <w:p w14:paraId="1BE2876F">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产污环节</w:t>
                  </w:r>
                </w:p>
              </w:tc>
              <w:tc>
                <w:tcPr>
                  <w:tcW w:w="601" w:type="pct"/>
                  <w:vMerge w:val="restart"/>
                  <w:vAlign w:val="center"/>
                </w:tcPr>
                <w:p w14:paraId="5C726BE3">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污染物种类</w:t>
                  </w:r>
                </w:p>
              </w:tc>
              <w:tc>
                <w:tcPr>
                  <w:tcW w:w="1051" w:type="pct"/>
                  <w:gridSpan w:val="2"/>
                  <w:vAlign w:val="center"/>
                </w:tcPr>
                <w:p w14:paraId="2CA1D701">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污染物产生情况</w:t>
                  </w:r>
                </w:p>
              </w:tc>
              <w:tc>
                <w:tcPr>
                  <w:tcW w:w="1114" w:type="pct"/>
                  <w:vMerge w:val="restart"/>
                  <w:vAlign w:val="center"/>
                </w:tcPr>
                <w:p w14:paraId="57C21EA6">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措施及效率</w:t>
                  </w:r>
                </w:p>
              </w:tc>
              <w:tc>
                <w:tcPr>
                  <w:tcW w:w="1496" w:type="pct"/>
                  <w:gridSpan w:val="2"/>
                  <w:vAlign w:val="center"/>
                </w:tcPr>
                <w:p w14:paraId="4D1EA59D">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无组织污染物排放情况</w:t>
                  </w:r>
                </w:p>
              </w:tc>
            </w:tr>
            <w:tr w14:paraId="792CC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35" w:type="pct"/>
                  <w:gridSpan w:val="2"/>
                  <w:vMerge w:val="continue"/>
                  <w:vAlign w:val="center"/>
                </w:tcPr>
                <w:p w14:paraId="25CACCF2">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p>
              </w:tc>
              <w:tc>
                <w:tcPr>
                  <w:tcW w:w="601" w:type="pct"/>
                  <w:vMerge w:val="continue"/>
                  <w:vAlign w:val="center"/>
                </w:tcPr>
                <w:p w14:paraId="7025231F">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p>
              </w:tc>
              <w:tc>
                <w:tcPr>
                  <w:tcW w:w="549" w:type="pct"/>
                  <w:vAlign w:val="center"/>
                </w:tcPr>
                <w:p w14:paraId="5BC159D7">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产生量t/a</w:t>
                  </w:r>
                </w:p>
              </w:tc>
              <w:tc>
                <w:tcPr>
                  <w:tcW w:w="501" w:type="pct"/>
                  <w:vAlign w:val="center"/>
                </w:tcPr>
                <w:p w14:paraId="23A0776E">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产生速率kg/h</w:t>
                  </w:r>
                </w:p>
              </w:tc>
              <w:tc>
                <w:tcPr>
                  <w:tcW w:w="1114" w:type="pct"/>
                  <w:vMerge w:val="continue"/>
                  <w:vAlign w:val="center"/>
                </w:tcPr>
                <w:p w14:paraId="5E128722">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p>
              </w:tc>
              <w:tc>
                <w:tcPr>
                  <w:tcW w:w="782" w:type="pct"/>
                  <w:vAlign w:val="center"/>
                </w:tcPr>
                <w:p w14:paraId="07D70AD5">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排放量t/a</w:t>
                  </w:r>
                </w:p>
              </w:tc>
              <w:tc>
                <w:tcPr>
                  <w:tcW w:w="713" w:type="pct"/>
                  <w:vAlign w:val="center"/>
                </w:tcPr>
                <w:p w14:paraId="5FC73AEF">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排放速率kg/h</w:t>
                  </w:r>
                </w:p>
              </w:tc>
            </w:tr>
            <w:tr w14:paraId="165C7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35" w:type="pct"/>
                  <w:gridSpan w:val="2"/>
                  <w:vAlign w:val="center"/>
                </w:tcPr>
                <w:p w14:paraId="01163A36">
                  <w:pPr>
                    <w:pStyle w:val="58"/>
                    <w:autoSpaceDE w:val="0"/>
                    <w:autoSpaceDN w:val="0"/>
                    <w:spacing w:before="24" w:after="24" w:line="240" w:lineRule="auto"/>
                    <w:rPr>
                      <w:rFonts w:hint="default" w:ascii="Times New Roman" w:hAnsi="Times New Roman" w:eastAsia="宋体" w:cs="Times New Roman"/>
                      <w:color w:val="000000" w:themeColor="text1"/>
                      <w:kern w:val="2"/>
                      <w:sz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填充工序堆存</w:t>
                  </w:r>
                </w:p>
              </w:tc>
              <w:tc>
                <w:tcPr>
                  <w:tcW w:w="601" w:type="pct"/>
                  <w:vAlign w:val="center"/>
                </w:tcPr>
                <w:p w14:paraId="644DC4D5">
                  <w:pPr>
                    <w:pStyle w:val="58"/>
                    <w:autoSpaceDE w:val="0"/>
                    <w:autoSpaceDN w:val="0"/>
                    <w:spacing w:before="24" w:after="24" w:line="240" w:lineRule="auto"/>
                    <w:rPr>
                      <w:rFonts w:hint="default" w:ascii="Times New Roman" w:hAnsi="Times New Roman" w:eastAsia="宋体" w:cs="Times New Roman"/>
                      <w:color w:val="000000" w:themeColor="text1"/>
                      <w:kern w:val="2"/>
                      <w:sz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颗粒物</w:t>
                  </w:r>
                </w:p>
              </w:tc>
              <w:tc>
                <w:tcPr>
                  <w:tcW w:w="549" w:type="pct"/>
                  <w:vAlign w:val="center"/>
                </w:tcPr>
                <w:p w14:paraId="1D1B7245">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14:textFill>
                        <w14:solidFill>
                          <w14:schemeClr w14:val="tx1"/>
                        </w14:solidFill>
                      </w14:textFill>
                    </w:rPr>
                    <w:t>0.</w:t>
                  </w: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057</w:t>
                  </w:r>
                </w:p>
              </w:tc>
              <w:tc>
                <w:tcPr>
                  <w:tcW w:w="501" w:type="pct"/>
                  <w:vAlign w:val="center"/>
                </w:tcPr>
                <w:p w14:paraId="2DFC6CF2">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0.012</w:t>
                  </w:r>
                </w:p>
              </w:tc>
              <w:tc>
                <w:tcPr>
                  <w:tcW w:w="1114" w:type="pct"/>
                  <w:vAlign w:val="center"/>
                </w:tcPr>
                <w:p w14:paraId="3F44369B">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782" w:type="pct"/>
                  <w:vAlign w:val="center"/>
                </w:tcPr>
                <w:p w14:paraId="7301C779">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0.017</w:t>
                  </w:r>
                </w:p>
              </w:tc>
              <w:tc>
                <w:tcPr>
                  <w:tcW w:w="713" w:type="pct"/>
                  <w:vAlign w:val="center"/>
                </w:tcPr>
                <w:p w14:paraId="41865AFA">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0.004</w:t>
                  </w:r>
                </w:p>
              </w:tc>
            </w:tr>
            <w:tr w14:paraId="77E40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35" w:type="pct"/>
                  <w:gridSpan w:val="2"/>
                  <w:vAlign w:val="center"/>
                </w:tcPr>
                <w:p w14:paraId="0C3C1348">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14:textFill>
                        <w14:solidFill>
                          <w14:schemeClr w14:val="tx1"/>
                        </w14:solidFill>
                      </w14:textFill>
                    </w:rPr>
                    <w:t>装卸过程起尘</w:t>
                  </w:r>
                </w:p>
              </w:tc>
              <w:tc>
                <w:tcPr>
                  <w:tcW w:w="601" w:type="pct"/>
                  <w:vAlign w:val="center"/>
                </w:tcPr>
                <w:p w14:paraId="3136A0E4">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颗粒物</w:t>
                  </w:r>
                </w:p>
              </w:tc>
              <w:tc>
                <w:tcPr>
                  <w:tcW w:w="549" w:type="pct"/>
                  <w:vAlign w:val="center"/>
                </w:tcPr>
                <w:p w14:paraId="4F03D307">
                  <w:pPr>
                    <w:pStyle w:val="58"/>
                    <w:autoSpaceDE w:val="0"/>
                    <w:autoSpaceDN w:val="0"/>
                    <w:spacing w:before="24" w:after="24" w:line="240" w:lineRule="auto"/>
                    <w:rPr>
                      <w:rFonts w:hint="default" w:ascii="Times New Roman" w:hAnsi="Times New Roman" w:eastAsia="宋体" w:cs="Times New Roman"/>
                      <w:color w:val="000000" w:themeColor="text1"/>
                      <w:kern w:val="2"/>
                      <w:sz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0.002</w:t>
                  </w:r>
                </w:p>
              </w:tc>
              <w:tc>
                <w:tcPr>
                  <w:tcW w:w="501" w:type="pct"/>
                  <w:vAlign w:val="center"/>
                </w:tcPr>
                <w:p w14:paraId="07D4186B">
                  <w:pPr>
                    <w:pStyle w:val="58"/>
                    <w:autoSpaceDE w:val="0"/>
                    <w:autoSpaceDN w:val="0"/>
                    <w:spacing w:before="24" w:after="24" w:line="240" w:lineRule="auto"/>
                    <w:rPr>
                      <w:rFonts w:hint="default" w:ascii="Times New Roman" w:hAnsi="Times New Roman" w:eastAsia="宋体" w:cs="Times New Roman"/>
                      <w:color w:val="000000" w:themeColor="text1"/>
                      <w:kern w:val="2"/>
                      <w:sz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0.0004</w:t>
                  </w:r>
                </w:p>
              </w:tc>
              <w:tc>
                <w:tcPr>
                  <w:tcW w:w="1114" w:type="pct"/>
                  <w:vAlign w:val="center"/>
                </w:tcPr>
                <w:p w14:paraId="5E9D84E0">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1324" w:type="dxa"/>
                  <w:vAlign w:val="center"/>
                </w:tcPr>
                <w:p w14:paraId="4172A780">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0.002</w:t>
                  </w:r>
                </w:p>
              </w:tc>
              <w:tc>
                <w:tcPr>
                  <w:tcW w:w="1209" w:type="dxa"/>
                  <w:vAlign w:val="center"/>
                </w:tcPr>
                <w:p w14:paraId="2215FB11">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0.0004</w:t>
                  </w:r>
                </w:p>
              </w:tc>
            </w:tr>
            <w:tr w14:paraId="7F468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35" w:type="pct"/>
                  <w:gridSpan w:val="2"/>
                  <w:vAlign w:val="center"/>
                </w:tcPr>
                <w:p w14:paraId="4278FA88">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14:textFill>
                        <w14:solidFill>
                          <w14:schemeClr w14:val="tx1"/>
                        </w14:solidFill>
                      </w14:textFill>
                    </w:rPr>
                    <w:t>输送</w:t>
                  </w:r>
                  <w:r>
                    <w:rPr>
                      <w:rFonts w:hint="default" w:ascii="Times New Roman" w:hAnsi="Times New Roman" w:cs="Times New Roman"/>
                      <w:color w:val="000000" w:themeColor="text1"/>
                      <w:sz w:val="21"/>
                      <w:szCs w:val="21"/>
                      <w:highlight w:val="none"/>
                      <w:u w:val="singl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1"/>
                      <w:szCs w:val="21"/>
                      <w:highlight w:val="none"/>
                      <w:u w:val="single"/>
                      <w14:textFill>
                        <w14:solidFill>
                          <w14:schemeClr w14:val="tx1"/>
                        </w14:solidFill>
                      </w14:textFill>
                    </w:rPr>
                    <w:t>粉尘</w:t>
                  </w:r>
                </w:p>
              </w:tc>
              <w:tc>
                <w:tcPr>
                  <w:tcW w:w="601" w:type="pct"/>
                  <w:vAlign w:val="center"/>
                </w:tcPr>
                <w:p w14:paraId="244C7CE7">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颗粒物</w:t>
                  </w:r>
                </w:p>
              </w:tc>
              <w:tc>
                <w:tcPr>
                  <w:tcW w:w="549" w:type="pct"/>
                  <w:vAlign w:val="center"/>
                </w:tcPr>
                <w:p w14:paraId="55FB0BC6">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14:textFill>
                        <w14:solidFill>
                          <w14:schemeClr w14:val="tx1"/>
                        </w14:solidFill>
                      </w14:textFill>
                    </w:rPr>
                    <w:t>0.5</w:t>
                  </w:r>
                </w:p>
              </w:tc>
              <w:tc>
                <w:tcPr>
                  <w:tcW w:w="501" w:type="pct"/>
                  <w:vAlign w:val="center"/>
                </w:tcPr>
                <w:p w14:paraId="31E008DE">
                  <w:pPr>
                    <w:pStyle w:val="58"/>
                    <w:autoSpaceDE w:val="0"/>
                    <w:autoSpaceDN w:val="0"/>
                    <w:spacing w:before="24" w:after="24" w:line="240" w:lineRule="auto"/>
                    <w:rPr>
                      <w:rFonts w:hint="default" w:ascii="Times New Roman" w:hAnsi="Times New Roman" w:eastAsia="宋体" w:cs="Times New Roman"/>
                      <w:color w:val="000000" w:themeColor="text1"/>
                      <w:kern w:val="2"/>
                      <w:sz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0.104</w:t>
                  </w:r>
                </w:p>
              </w:tc>
              <w:tc>
                <w:tcPr>
                  <w:tcW w:w="1114" w:type="pct"/>
                  <w:vAlign w:val="center"/>
                </w:tcPr>
                <w:p w14:paraId="1D4846B2">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1324" w:type="dxa"/>
                  <w:vAlign w:val="center"/>
                </w:tcPr>
                <w:p w14:paraId="1F3DFACB">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sz w:val="21"/>
                      <w:szCs w:val="21"/>
                      <w:highlight w:val="none"/>
                      <w:u w:val="single"/>
                      <w14:textFill>
                        <w14:solidFill>
                          <w14:schemeClr w14:val="tx1"/>
                        </w14:solidFill>
                      </w14:textFill>
                    </w:rPr>
                    <w:t>0.5</w:t>
                  </w:r>
                </w:p>
              </w:tc>
              <w:tc>
                <w:tcPr>
                  <w:tcW w:w="1209" w:type="dxa"/>
                  <w:vAlign w:val="center"/>
                </w:tcPr>
                <w:p w14:paraId="5BC6774C">
                  <w:pPr>
                    <w:pStyle w:val="58"/>
                    <w:autoSpaceDE w:val="0"/>
                    <w:autoSpaceDN w:val="0"/>
                    <w:spacing w:before="24" w:after="24" w:line="240" w:lineRule="auto"/>
                    <w:rPr>
                      <w:rFonts w:hint="default" w:ascii="Times New Roman" w:hAnsi="Times New Roman" w:cs="Times New Roman"/>
                      <w:color w:val="000000" w:themeColor="text1"/>
                      <w:kern w:val="2"/>
                      <w:sz w:val="21"/>
                      <w:szCs w:val="21"/>
                      <w:highlight w:val="none"/>
                      <w:u w:val="single"/>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0.104</w:t>
                  </w:r>
                </w:p>
              </w:tc>
            </w:tr>
            <w:tr w14:paraId="48BFD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 w:type="pct"/>
                  <w:vMerge w:val="restart"/>
                  <w:vAlign w:val="center"/>
                </w:tcPr>
                <w:p w14:paraId="46D27A76">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预处理工序</w:t>
                  </w:r>
                </w:p>
              </w:tc>
              <w:tc>
                <w:tcPr>
                  <w:tcW w:w="525" w:type="pct"/>
                  <w:vAlign w:val="center"/>
                </w:tcPr>
                <w:p w14:paraId="13B0D803">
                  <w:pPr>
                    <w:autoSpaceDE w:val="0"/>
                    <w:autoSpaceDN w:val="0"/>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激光切割下料工序</w:t>
                  </w:r>
                </w:p>
              </w:tc>
              <w:tc>
                <w:tcPr>
                  <w:tcW w:w="601" w:type="pct"/>
                  <w:vAlign w:val="center"/>
                </w:tcPr>
                <w:p w14:paraId="025BA816">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lang w:bidi="zh-CN"/>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颗粒物</w:t>
                  </w:r>
                </w:p>
              </w:tc>
              <w:tc>
                <w:tcPr>
                  <w:tcW w:w="549" w:type="pct"/>
                  <w:vAlign w:val="center"/>
                </w:tcPr>
                <w:p w14:paraId="114C01ED">
                  <w:pPr>
                    <w:autoSpaceDE w:val="0"/>
                    <w:autoSpaceDN w:val="0"/>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0.13</w:t>
                  </w:r>
                </w:p>
              </w:tc>
              <w:tc>
                <w:tcPr>
                  <w:tcW w:w="501" w:type="pct"/>
                  <w:vAlign w:val="center"/>
                </w:tcPr>
                <w:p w14:paraId="2BF2A1D7">
                  <w:pPr>
                    <w:autoSpaceDE w:val="0"/>
                    <w:autoSpaceDN w:val="0"/>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0.16</w:t>
                  </w:r>
                </w:p>
              </w:tc>
              <w:tc>
                <w:tcPr>
                  <w:tcW w:w="1114" w:type="pct"/>
                  <w:vAlign w:val="center"/>
                </w:tcPr>
                <w:p w14:paraId="16377D30">
                  <w:pPr>
                    <w:autoSpaceDE w:val="0"/>
                    <w:autoSpaceDN w:val="0"/>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大颗粒沉降90%，车间阻隔60%</w:t>
                  </w:r>
                </w:p>
              </w:tc>
              <w:tc>
                <w:tcPr>
                  <w:tcW w:w="782" w:type="pct"/>
                  <w:vAlign w:val="center"/>
                </w:tcPr>
                <w:p w14:paraId="69CA6A3C">
                  <w:pPr>
                    <w:autoSpaceDE w:val="0"/>
                    <w:autoSpaceDN w:val="0"/>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0.008</w:t>
                  </w:r>
                </w:p>
              </w:tc>
              <w:tc>
                <w:tcPr>
                  <w:tcW w:w="713" w:type="pct"/>
                  <w:vAlign w:val="center"/>
                </w:tcPr>
                <w:p w14:paraId="155A6ACC">
                  <w:pPr>
                    <w:autoSpaceDE w:val="0"/>
                    <w:autoSpaceDN w:val="0"/>
                    <w:adjustRightInd w:val="0"/>
                    <w:snapToGrid w:val="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0.01</w:t>
                  </w:r>
                </w:p>
              </w:tc>
            </w:tr>
            <w:tr w14:paraId="0320A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 w:type="pct"/>
                  <w:vMerge w:val="continue"/>
                  <w:vAlign w:val="center"/>
                </w:tcPr>
                <w:p w14:paraId="028BFDD2">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25" w:type="pct"/>
                  <w:vAlign w:val="center"/>
                </w:tcPr>
                <w:p w14:paraId="4F95123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等离子切割下料粉尘</w:t>
                  </w:r>
                </w:p>
              </w:tc>
              <w:tc>
                <w:tcPr>
                  <w:tcW w:w="601" w:type="pct"/>
                  <w:vAlign w:val="center"/>
                </w:tcPr>
                <w:p w14:paraId="24E8B947">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颗粒物</w:t>
                  </w:r>
                </w:p>
              </w:tc>
              <w:tc>
                <w:tcPr>
                  <w:tcW w:w="549" w:type="pct"/>
                  <w:vAlign w:val="center"/>
                </w:tcPr>
                <w:p w14:paraId="0F18957D">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0.198</w:t>
                  </w:r>
                </w:p>
              </w:tc>
              <w:tc>
                <w:tcPr>
                  <w:tcW w:w="501" w:type="pct"/>
                  <w:vAlign w:val="center"/>
                </w:tcPr>
                <w:p w14:paraId="3D2B94D5">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0.083</w:t>
                  </w:r>
                </w:p>
              </w:tc>
              <w:tc>
                <w:tcPr>
                  <w:tcW w:w="1114" w:type="pct"/>
                  <w:vAlign w:val="center"/>
                </w:tcPr>
                <w:p w14:paraId="4BF9809A">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782" w:type="pct"/>
                  <w:vAlign w:val="center"/>
                </w:tcPr>
                <w:p w14:paraId="3DC769E3">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0.198</w:t>
                  </w:r>
                </w:p>
              </w:tc>
              <w:tc>
                <w:tcPr>
                  <w:tcW w:w="713" w:type="pct"/>
                  <w:vAlign w:val="center"/>
                </w:tcPr>
                <w:p w14:paraId="2636106B">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0.083</w:t>
                  </w:r>
                </w:p>
              </w:tc>
            </w:tr>
            <w:tr w14:paraId="6F864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 w:type="pct"/>
                  <w:vMerge w:val="continue"/>
                  <w:vAlign w:val="center"/>
                </w:tcPr>
                <w:p w14:paraId="16021DFC">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25" w:type="pct"/>
                  <w:vAlign w:val="center"/>
                </w:tcPr>
                <w:p w14:paraId="6A450F9C">
                  <w:pPr>
                    <w:autoSpaceDE w:val="0"/>
                    <w:autoSpaceDN w:val="0"/>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焊接</w:t>
                  </w:r>
                </w:p>
              </w:tc>
              <w:tc>
                <w:tcPr>
                  <w:tcW w:w="601" w:type="pct"/>
                  <w:vAlign w:val="center"/>
                </w:tcPr>
                <w:p w14:paraId="7674B3F4">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lang w:bidi="zh-CN"/>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颗粒物</w:t>
                  </w:r>
                </w:p>
              </w:tc>
              <w:tc>
                <w:tcPr>
                  <w:tcW w:w="549" w:type="pct"/>
                  <w:vAlign w:val="center"/>
                </w:tcPr>
                <w:p w14:paraId="76288123">
                  <w:pPr>
                    <w:widowControl/>
                    <w:ind w:left="-105" w:leftChars="-50" w:right="-105" w:rightChars="-50"/>
                    <w:jc w:val="center"/>
                    <w:textAlignment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0.164</w:t>
                  </w:r>
                </w:p>
              </w:tc>
              <w:tc>
                <w:tcPr>
                  <w:tcW w:w="501" w:type="pct"/>
                  <w:vAlign w:val="center"/>
                </w:tcPr>
                <w:p w14:paraId="0AEF1254">
                  <w:pPr>
                    <w:widowControl/>
                    <w:ind w:left="-105" w:leftChars="-50" w:right="-105" w:rightChars="-50"/>
                    <w:jc w:val="center"/>
                    <w:textAlignment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0.82</w:t>
                  </w:r>
                </w:p>
              </w:tc>
              <w:tc>
                <w:tcPr>
                  <w:tcW w:w="1114" w:type="pct"/>
                  <w:vAlign w:val="center"/>
                </w:tcPr>
                <w:p w14:paraId="109EE8AD">
                  <w:pPr>
                    <w:autoSpaceDE w:val="0"/>
                    <w:autoSpaceDN w:val="0"/>
                    <w:adjustRightInd w:val="0"/>
                    <w:snapToGrid w:val="0"/>
                    <w:jc w:val="center"/>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移动式烟尘净化器处理95%</w:t>
                  </w:r>
                </w:p>
              </w:tc>
              <w:tc>
                <w:tcPr>
                  <w:tcW w:w="782" w:type="pct"/>
                  <w:vAlign w:val="center"/>
                </w:tcPr>
                <w:p w14:paraId="3B50E540">
                  <w:pPr>
                    <w:widowControl/>
                    <w:ind w:left="-105" w:leftChars="-50" w:right="-105" w:rightChars="-50"/>
                    <w:jc w:val="center"/>
                    <w:textAlignment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0.164</w:t>
                  </w:r>
                </w:p>
              </w:tc>
              <w:tc>
                <w:tcPr>
                  <w:tcW w:w="713" w:type="pct"/>
                  <w:vAlign w:val="center"/>
                </w:tcPr>
                <w:p w14:paraId="2977AF21">
                  <w:pPr>
                    <w:widowControl/>
                    <w:ind w:left="-105" w:leftChars="-50" w:right="-105" w:rightChars="-50"/>
                    <w:jc w:val="center"/>
                    <w:textAlignment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0.82</w:t>
                  </w:r>
                </w:p>
              </w:tc>
            </w:tr>
            <w:tr w14:paraId="0C348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 w:type="pct"/>
                  <w:vMerge w:val="continue"/>
                  <w:vAlign w:val="center"/>
                </w:tcPr>
                <w:p w14:paraId="0D72C4E9">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25" w:type="pct"/>
                  <w:vMerge w:val="restart"/>
                  <w:vAlign w:val="center"/>
                </w:tcPr>
                <w:p w14:paraId="06F8E169">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腻子打磨</w:t>
                  </w:r>
                </w:p>
              </w:tc>
              <w:tc>
                <w:tcPr>
                  <w:tcW w:w="1019" w:type="dxa"/>
                  <w:vAlign w:val="center"/>
                </w:tcPr>
                <w:p w14:paraId="14EC268E">
                  <w:pPr>
                    <w:widowControl/>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931" w:type="dxa"/>
                  <w:vAlign w:val="center"/>
                </w:tcPr>
                <w:p w14:paraId="428FCBE9">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0.475</w:t>
                  </w:r>
                </w:p>
              </w:tc>
              <w:tc>
                <w:tcPr>
                  <w:tcW w:w="849" w:type="dxa"/>
                  <w:vAlign w:val="center"/>
                </w:tcPr>
                <w:p w14:paraId="218E7792">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0.95</w:t>
                  </w:r>
                </w:p>
              </w:tc>
              <w:tc>
                <w:tcPr>
                  <w:tcW w:w="1888" w:type="dxa"/>
                  <w:vAlign w:val="center"/>
                </w:tcPr>
                <w:p w14:paraId="718DF247">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w:t>
                  </w:r>
                  <w:r>
                    <w:rPr>
                      <w:rFonts w:hint="default" w:ascii="Times New Roman" w:hAnsi="Times New Roman" w:cs="Times New Roman"/>
                      <w:color w:val="000000" w:themeColor="text1"/>
                      <w:kern w:val="2"/>
                      <w:szCs w:val="21"/>
                      <w:highlight w:val="none"/>
                      <w14:textFill>
                        <w14:solidFill>
                          <w14:schemeClr w14:val="tx1"/>
                        </w14:solidFill>
                      </w14:textFill>
                    </w:rPr>
                    <w:t>处理95%</w:t>
                  </w:r>
                </w:p>
              </w:tc>
              <w:tc>
                <w:tcPr>
                  <w:tcW w:w="1326" w:type="dxa"/>
                  <w:vAlign w:val="center"/>
                </w:tcPr>
                <w:p w14:paraId="6D94909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0.024</w:t>
                  </w:r>
                </w:p>
              </w:tc>
              <w:tc>
                <w:tcPr>
                  <w:tcW w:w="1209" w:type="dxa"/>
                  <w:vAlign w:val="center"/>
                </w:tcPr>
                <w:p w14:paraId="777CDCEE">
                  <w:pPr>
                    <w:widowControl/>
                    <w:adjustRightInd w:val="0"/>
                    <w:snapToGrid w:val="0"/>
                    <w:ind w:left="-105" w:leftChars="-50" w:right="-105" w:rightChars="-5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0.048</w:t>
                  </w:r>
                </w:p>
              </w:tc>
            </w:tr>
            <w:tr w14:paraId="2921E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10" w:type="pct"/>
                  <w:vMerge w:val="continue"/>
                  <w:vAlign w:val="center"/>
                </w:tcPr>
                <w:p w14:paraId="562EE467">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525" w:type="pct"/>
                  <w:vMerge w:val="continue"/>
                  <w:vAlign w:val="center"/>
                </w:tcPr>
                <w:p w14:paraId="5FFD30F6">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601" w:type="pct"/>
                  <w:vAlign w:val="center"/>
                </w:tcPr>
                <w:p w14:paraId="0F4C3CA4">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颗粒物</w:t>
                  </w:r>
                </w:p>
              </w:tc>
              <w:tc>
                <w:tcPr>
                  <w:tcW w:w="549" w:type="pct"/>
                  <w:vAlign w:val="center"/>
                </w:tcPr>
                <w:p w14:paraId="7ABF08EF">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0.025</w:t>
                  </w:r>
                </w:p>
              </w:tc>
              <w:tc>
                <w:tcPr>
                  <w:tcW w:w="501" w:type="pct"/>
                  <w:vAlign w:val="center"/>
                </w:tcPr>
                <w:p w14:paraId="0DC6C338">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w:t>
                  </w:r>
                </w:p>
              </w:tc>
              <w:tc>
                <w:tcPr>
                  <w:tcW w:w="1114" w:type="pct"/>
                  <w:vAlign w:val="center"/>
                </w:tcPr>
                <w:p w14:paraId="1D3C01B4">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782" w:type="pct"/>
                  <w:vAlign w:val="center"/>
                </w:tcPr>
                <w:p w14:paraId="221A1F5F">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0.025</w:t>
                  </w:r>
                </w:p>
              </w:tc>
              <w:tc>
                <w:tcPr>
                  <w:tcW w:w="713" w:type="pct"/>
                  <w:vAlign w:val="center"/>
                </w:tcPr>
                <w:p w14:paraId="5F325634">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t>0.05</w:t>
                  </w:r>
                </w:p>
              </w:tc>
            </w:tr>
            <w:tr w14:paraId="110FD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5" w:type="pct"/>
                  <w:gridSpan w:val="2"/>
                  <w:vMerge w:val="restart"/>
                  <w:vAlign w:val="center"/>
                </w:tcPr>
                <w:p w14:paraId="14ECC722">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喷漆生产线</w:t>
                  </w:r>
                </w:p>
              </w:tc>
              <w:tc>
                <w:tcPr>
                  <w:tcW w:w="601" w:type="pct"/>
                  <w:vAlign w:val="center"/>
                </w:tcPr>
                <w:p w14:paraId="5AA021D7">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VOCs</w:t>
                  </w:r>
                </w:p>
              </w:tc>
              <w:tc>
                <w:tcPr>
                  <w:tcW w:w="549" w:type="pct"/>
                  <w:vAlign w:val="center"/>
                </w:tcPr>
                <w:p w14:paraId="4C3F21A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0.372</w:t>
                  </w:r>
                </w:p>
              </w:tc>
              <w:tc>
                <w:tcPr>
                  <w:tcW w:w="501" w:type="pct"/>
                  <w:vAlign w:val="center"/>
                </w:tcPr>
                <w:p w14:paraId="2CFBCB42">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0.36</w:t>
                  </w:r>
                </w:p>
              </w:tc>
              <w:tc>
                <w:tcPr>
                  <w:tcW w:w="1114" w:type="pct"/>
                  <w:vAlign w:val="center"/>
                </w:tcPr>
                <w:p w14:paraId="52B15B8C">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w:t>
                  </w:r>
                </w:p>
              </w:tc>
              <w:tc>
                <w:tcPr>
                  <w:tcW w:w="1326" w:type="dxa"/>
                  <w:vAlign w:val="center"/>
                </w:tcPr>
                <w:p w14:paraId="7911E904">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0.372</w:t>
                  </w:r>
                </w:p>
              </w:tc>
              <w:tc>
                <w:tcPr>
                  <w:tcW w:w="1209" w:type="dxa"/>
                  <w:vAlign w:val="center"/>
                </w:tcPr>
                <w:p w14:paraId="3F253284">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0.36</w:t>
                  </w:r>
                </w:p>
              </w:tc>
            </w:tr>
            <w:tr w14:paraId="1F02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5" w:type="pct"/>
                  <w:gridSpan w:val="2"/>
                  <w:vMerge w:val="continue"/>
                  <w:vAlign w:val="center"/>
                </w:tcPr>
                <w:p w14:paraId="2820A45D">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601" w:type="pct"/>
                  <w:vAlign w:val="center"/>
                </w:tcPr>
                <w:p w14:paraId="074E5DED">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二甲苯</w:t>
                  </w:r>
                </w:p>
              </w:tc>
              <w:tc>
                <w:tcPr>
                  <w:tcW w:w="549" w:type="pct"/>
                  <w:vAlign w:val="center"/>
                </w:tcPr>
                <w:p w14:paraId="64761447">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0.091</w:t>
                  </w:r>
                </w:p>
              </w:tc>
              <w:tc>
                <w:tcPr>
                  <w:tcW w:w="501" w:type="pct"/>
                  <w:vAlign w:val="center"/>
                </w:tcPr>
                <w:p w14:paraId="20F4D710">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0.08</w:t>
                  </w:r>
                </w:p>
              </w:tc>
              <w:tc>
                <w:tcPr>
                  <w:tcW w:w="1114" w:type="pct"/>
                  <w:vAlign w:val="center"/>
                </w:tcPr>
                <w:p w14:paraId="6BEB5089">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w:t>
                  </w:r>
                </w:p>
              </w:tc>
              <w:tc>
                <w:tcPr>
                  <w:tcW w:w="1326" w:type="dxa"/>
                  <w:vAlign w:val="center"/>
                </w:tcPr>
                <w:p w14:paraId="3D7D7BC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0.091</w:t>
                  </w:r>
                </w:p>
              </w:tc>
              <w:tc>
                <w:tcPr>
                  <w:tcW w:w="1209" w:type="dxa"/>
                  <w:vAlign w:val="center"/>
                </w:tcPr>
                <w:p w14:paraId="12032DD5">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0.08</w:t>
                  </w:r>
                </w:p>
              </w:tc>
            </w:tr>
            <w:tr w14:paraId="1E51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5" w:type="pct"/>
                  <w:gridSpan w:val="2"/>
                  <w:vMerge w:val="continue"/>
                  <w:vAlign w:val="center"/>
                </w:tcPr>
                <w:p w14:paraId="2CC7591E">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601" w:type="pct"/>
                  <w:vAlign w:val="center"/>
                </w:tcPr>
                <w:p w14:paraId="76B28D71">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颗粒物</w:t>
                  </w:r>
                </w:p>
              </w:tc>
              <w:tc>
                <w:tcPr>
                  <w:tcW w:w="549" w:type="pct"/>
                  <w:vAlign w:val="center"/>
                </w:tcPr>
                <w:p w14:paraId="3AE91512">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0.103</w:t>
                  </w:r>
                </w:p>
              </w:tc>
              <w:tc>
                <w:tcPr>
                  <w:tcW w:w="501" w:type="pct"/>
                  <w:vAlign w:val="center"/>
                </w:tcPr>
                <w:p w14:paraId="1ADA3878">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0.10</w:t>
                  </w:r>
                </w:p>
              </w:tc>
              <w:tc>
                <w:tcPr>
                  <w:tcW w:w="1114" w:type="pct"/>
                  <w:vAlign w:val="center"/>
                </w:tcPr>
                <w:p w14:paraId="40B520C5">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w:t>
                  </w:r>
                </w:p>
              </w:tc>
              <w:tc>
                <w:tcPr>
                  <w:tcW w:w="1326" w:type="dxa"/>
                  <w:vAlign w:val="center"/>
                </w:tcPr>
                <w:p w14:paraId="7FB702D9">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0.103</w:t>
                  </w:r>
                </w:p>
              </w:tc>
              <w:tc>
                <w:tcPr>
                  <w:tcW w:w="1209" w:type="dxa"/>
                  <w:vAlign w:val="center"/>
                </w:tcPr>
                <w:p w14:paraId="2AF54481">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0.10</w:t>
                  </w:r>
                </w:p>
              </w:tc>
            </w:tr>
            <w:tr w14:paraId="1FB04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5" w:type="pct"/>
                  <w:gridSpan w:val="2"/>
                  <w:vMerge w:val="restart"/>
                  <w:vAlign w:val="center"/>
                </w:tcPr>
                <w:p w14:paraId="46B7E1F5">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合计</w:t>
                  </w:r>
                </w:p>
              </w:tc>
              <w:tc>
                <w:tcPr>
                  <w:tcW w:w="1019" w:type="dxa"/>
                  <w:vAlign w:val="center"/>
                </w:tcPr>
                <w:p w14:paraId="17645D95">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VOCs</w:t>
                  </w:r>
                </w:p>
              </w:tc>
              <w:tc>
                <w:tcPr>
                  <w:tcW w:w="931" w:type="dxa"/>
                  <w:vAlign w:val="center"/>
                </w:tcPr>
                <w:p w14:paraId="0066CDFD">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0.372</w:t>
                  </w:r>
                </w:p>
              </w:tc>
              <w:tc>
                <w:tcPr>
                  <w:tcW w:w="849" w:type="dxa"/>
                  <w:vAlign w:val="center"/>
                </w:tcPr>
                <w:p w14:paraId="02F90083">
                  <w:pPr>
                    <w:widowControl/>
                    <w:adjustRightInd w:val="0"/>
                    <w:snapToGrid w:val="0"/>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0.36</w:t>
                  </w:r>
                </w:p>
              </w:tc>
              <w:tc>
                <w:tcPr>
                  <w:tcW w:w="1114" w:type="pct"/>
                  <w:vAlign w:val="center"/>
                </w:tcPr>
                <w:p w14:paraId="25954B67">
                  <w:pPr>
                    <w:widowControl/>
                    <w:ind w:left="62"/>
                    <w:jc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w:t>
                  </w:r>
                </w:p>
              </w:tc>
              <w:tc>
                <w:tcPr>
                  <w:tcW w:w="1326" w:type="dxa"/>
                  <w:vAlign w:val="center"/>
                </w:tcPr>
                <w:p w14:paraId="6B7A7DE7">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0.372</w:t>
                  </w:r>
                </w:p>
              </w:tc>
              <w:tc>
                <w:tcPr>
                  <w:tcW w:w="1209" w:type="dxa"/>
                  <w:vAlign w:val="center"/>
                </w:tcPr>
                <w:p w14:paraId="553CFC84">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t>0.36</w:t>
                  </w:r>
                </w:p>
              </w:tc>
            </w:tr>
            <w:tr w14:paraId="0FEB2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35" w:type="pct"/>
                  <w:gridSpan w:val="2"/>
                  <w:vMerge w:val="continue"/>
                  <w:vAlign w:val="center"/>
                </w:tcPr>
                <w:p w14:paraId="4837EF9F">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019" w:type="dxa"/>
                  <w:vAlign w:val="center"/>
                </w:tcPr>
                <w:p w14:paraId="24F07776">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二甲苯</w:t>
                  </w:r>
                </w:p>
              </w:tc>
              <w:tc>
                <w:tcPr>
                  <w:tcW w:w="931" w:type="dxa"/>
                  <w:vAlign w:val="center"/>
                </w:tcPr>
                <w:p w14:paraId="3823B565">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0.091</w:t>
                  </w:r>
                </w:p>
              </w:tc>
              <w:tc>
                <w:tcPr>
                  <w:tcW w:w="849" w:type="dxa"/>
                  <w:vAlign w:val="center"/>
                </w:tcPr>
                <w:p w14:paraId="4CF2C120">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0.08</w:t>
                  </w:r>
                </w:p>
              </w:tc>
              <w:tc>
                <w:tcPr>
                  <w:tcW w:w="1114" w:type="pct"/>
                  <w:vAlign w:val="center"/>
                </w:tcPr>
                <w:p w14:paraId="17E7D5E0">
                  <w:pPr>
                    <w:widowControl/>
                    <w:ind w:left="62"/>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w:t>
                  </w:r>
                </w:p>
              </w:tc>
              <w:tc>
                <w:tcPr>
                  <w:tcW w:w="1326" w:type="dxa"/>
                  <w:vAlign w:val="center"/>
                </w:tcPr>
                <w:p w14:paraId="34049F68">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0.091</w:t>
                  </w:r>
                </w:p>
              </w:tc>
              <w:tc>
                <w:tcPr>
                  <w:tcW w:w="1209" w:type="dxa"/>
                  <w:vAlign w:val="center"/>
                </w:tcPr>
                <w:p w14:paraId="306438FE">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bidi="zh-CN"/>
                      <w14:textFill>
                        <w14:solidFill>
                          <w14:schemeClr w14:val="tx1"/>
                        </w14:solidFill>
                      </w14:textFill>
                    </w:rPr>
                    <w:t>0.08</w:t>
                  </w:r>
                </w:p>
              </w:tc>
            </w:tr>
            <w:tr w14:paraId="4029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5" w:type="pct"/>
                  <w:gridSpan w:val="2"/>
                  <w:vMerge w:val="continue"/>
                  <w:vAlign w:val="center"/>
                </w:tcPr>
                <w:p w14:paraId="4AE1D76B">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019" w:type="dxa"/>
                  <w:vAlign w:val="center"/>
                </w:tcPr>
                <w:p w14:paraId="551211F1">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颗粒物</w:t>
                  </w:r>
                </w:p>
              </w:tc>
              <w:tc>
                <w:tcPr>
                  <w:tcW w:w="931" w:type="dxa"/>
                  <w:vAlign w:val="center"/>
                </w:tcPr>
                <w:p w14:paraId="31471DDF">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t>1.654</w:t>
                  </w:r>
                </w:p>
              </w:tc>
              <w:tc>
                <w:tcPr>
                  <w:tcW w:w="501" w:type="pct"/>
                  <w:vAlign w:val="center"/>
                </w:tcPr>
                <w:p w14:paraId="1051CD41">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t>1.1864</w:t>
                  </w:r>
                </w:p>
              </w:tc>
              <w:tc>
                <w:tcPr>
                  <w:tcW w:w="1114" w:type="pct"/>
                  <w:vAlign w:val="center"/>
                </w:tcPr>
                <w:p w14:paraId="2D3BF6E7">
                  <w:pPr>
                    <w:widowControl/>
                    <w:ind w:left="62"/>
                    <w:jc w:val="center"/>
                    <w:textAlignment w:val="center"/>
                    <w:rPr>
                      <w:rFonts w:hint="default" w:ascii="Times New Roman" w:hAnsi="Times New Roman" w:cs="Times New Roman"/>
                      <w:color w:val="000000" w:themeColor="text1"/>
                      <w:szCs w:val="21"/>
                      <w:highlight w:val="none"/>
                      <w:u w:val="single"/>
                      <w:lang w:val="zh-CN" w:bidi="zh-CN"/>
                      <w14:textFill>
                        <w14:solidFill>
                          <w14:schemeClr w14:val="tx1"/>
                        </w14:solidFill>
                      </w14:textFill>
                    </w:rPr>
                  </w:pPr>
                  <w:r>
                    <w:rPr>
                      <w:rFonts w:hint="default" w:ascii="Times New Roman" w:hAnsi="Times New Roman" w:eastAsia="等线" w:cs="Times New Roman"/>
                      <w:color w:val="000000" w:themeColor="text1"/>
                      <w:kern w:val="0"/>
                      <w:szCs w:val="21"/>
                      <w:highlight w:val="none"/>
                      <w:u w:val="single"/>
                      <w:lang w:bidi="ar"/>
                      <w14:textFill>
                        <w14:solidFill>
                          <w14:schemeClr w14:val="tx1"/>
                        </w14:solidFill>
                      </w14:textFill>
                    </w:rPr>
                    <w:t>/</w:t>
                  </w:r>
                </w:p>
              </w:tc>
              <w:tc>
                <w:tcPr>
                  <w:tcW w:w="782" w:type="pct"/>
                  <w:vAlign w:val="center"/>
                </w:tcPr>
                <w:p w14:paraId="707BCFE9">
                  <w:pPr>
                    <w:widowControl/>
                    <w:adjustRightInd w:val="0"/>
                    <w:snapToGrid w:val="0"/>
                    <w:jc w:val="center"/>
                    <w:textAlignment w:val="center"/>
                    <w:rPr>
                      <w:rFonts w:hint="default" w:ascii="Times New Roman" w:hAnsi="Times New Roman" w:eastAsia="宋体" w:cs="Times New Roman"/>
                      <w:color w:val="000000" w:themeColor="text1"/>
                      <w:highlight w:val="none"/>
                      <w:u w:val="single"/>
                      <w:lang w:val="en-US" w:eastAsia="zh-CN"/>
                      <w14:textFill>
                        <w14:solidFill>
                          <w14:schemeClr w14:val="tx1"/>
                        </w14:solidFill>
                      </w14:textFill>
                    </w:rPr>
                  </w:pPr>
                  <w:r>
                    <w:rPr>
                      <w:rFonts w:hint="default" w:ascii="Times New Roman" w:hAnsi="Times New Roman" w:cs="Times New Roman"/>
                      <w:color w:val="000000" w:themeColor="text1"/>
                      <w:highlight w:val="none"/>
                      <w:u w:val="single"/>
                      <w:lang w:val="en-US" w:eastAsia="zh-CN"/>
                      <w14:textFill>
                        <w14:solidFill>
                          <w14:schemeClr w14:val="tx1"/>
                        </w14:solidFill>
                      </w14:textFill>
                    </w:rPr>
                    <w:t>1.041</w:t>
                  </w:r>
                </w:p>
              </w:tc>
              <w:tc>
                <w:tcPr>
                  <w:tcW w:w="713" w:type="pct"/>
                  <w:vAlign w:val="center"/>
                </w:tcPr>
                <w:p w14:paraId="58E40F3C">
                  <w:pPr>
                    <w:widowControl/>
                    <w:adjustRightInd w:val="0"/>
                    <w:snapToGrid w:val="0"/>
                    <w:jc w:val="center"/>
                    <w:textAlignment w:val="cente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pPr>
                  <w:r>
                    <w:rPr>
                      <w:rFonts w:hint="default" w:ascii="Times New Roman" w:hAnsi="Times New Roman" w:cs="Times New Roman" w:eastAsiaTheme="minorEastAsia"/>
                      <w:color w:val="000000" w:themeColor="text1"/>
                      <w:szCs w:val="21"/>
                      <w:highlight w:val="none"/>
                      <w:u w:val="single"/>
                      <w:lang w:val="en-US" w:bidi="zh-CN"/>
                      <w14:textFill>
                        <w14:solidFill>
                          <w14:schemeClr w14:val="tx1"/>
                        </w14:solidFill>
                      </w14:textFill>
                    </w:rPr>
                    <w:t>0.6184</w:t>
                  </w:r>
                </w:p>
              </w:tc>
            </w:tr>
          </w:tbl>
          <w:p w14:paraId="0D3D8894">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64" w:name="_Toc87540615"/>
            <w:bookmarkStart w:id="65" w:name="_Toc357587256"/>
            <w:bookmarkStart w:id="66" w:name="_Toc6288"/>
            <w:bookmarkStart w:id="67" w:name="_Toc85442684"/>
            <w:bookmarkStart w:id="68" w:name="_Toc21418"/>
            <w:bookmarkStart w:id="69" w:name="_Toc1453"/>
            <w:r>
              <w:rPr>
                <w:rFonts w:hint="default" w:ascii="Times New Roman" w:hAnsi="Times New Roman" w:cs="Times New Roman"/>
                <w:b/>
                <w:bCs/>
                <w:color w:val="000000" w:themeColor="text1"/>
                <w:sz w:val="24"/>
                <w:highlight w:val="none"/>
                <w14:textFill>
                  <w14:solidFill>
                    <w14:schemeClr w14:val="tx1"/>
                  </w14:solidFill>
                </w14:textFill>
              </w:rPr>
              <w:t>2、非正常工况</w:t>
            </w:r>
            <w:bookmarkEnd w:id="64"/>
            <w:bookmarkEnd w:id="65"/>
            <w:bookmarkEnd w:id="66"/>
            <w:bookmarkEnd w:id="67"/>
            <w:bookmarkEnd w:id="68"/>
            <w:bookmarkEnd w:id="69"/>
          </w:p>
          <w:p w14:paraId="0CAD414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（1）非正常工况污染因素分析</w:t>
            </w:r>
          </w:p>
          <w:p w14:paraId="6DAEEEE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非正常排放是指生产过程中开停车（工、炉）、设备检修、工艺设备运转异常等非正常工况下的污染物排放，以及污染物排放控制措施达不到应有效率等情况下的排放。本项目生产过程中产生的非正常排放主要是各种污染治理设施发生故障时引起的污染物超标排放。</w:t>
            </w:r>
          </w:p>
          <w:p w14:paraId="6B0FFC2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本项目废气非正常排放主要为喷漆生产线废气处理装置故障，项目废气非正常排放情况见表4-1</w:t>
            </w:r>
            <w:r>
              <w:rPr>
                <w:rFonts w:hint="default" w:ascii="Times New Roman" w:hAnsi="Times New Roman" w:cs="Times New Roman"/>
                <w:color w:val="000000" w:themeColor="text1"/>
                <w:sz w:val="24"/>
                <w:highlight w:val="none"/>
                <w14:textFill>
                  <w14:solidFill>
                    <w14:schemeClr w14:val="tx1"/>
                  </w14:solidFill>
                </w14:textFill>
              </w:rPr>
              <w:t>6</w:t>
            </w:r>
            <w:r>
              <w:rPr>
                <w:rFonts w:hint="default" w:ascii="Times New Roman" w:hAnsi="Times New Roman" w:cs="Times New Roman"/>
                <w:color w:val="000000" w:themeColor="text1"/>
                <w:sz w:val="24"/>
                <w:highlight w:val="none"/>
                <w14:textFill>
                  <w14:solidFill>
                    <w14:schemeClr w14:val="tx1"/>
                  </w14:solidFill>
                </w14:textFill>
              </w:rPr>
              <w:t>。</w:t>
            </w:r>
          </w:p>
          <w:p w14:paraId="5F48E464">
            <w:pPr>
              <w:pStyle w:val="97"/>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eastAsia="黑体" w:cs="Times New Roman"/>
                <w:bCs/>
                <w:color w:val="000000" w:themeColor="text1"/>
                <w:highlight w:val="none"/>
                <w:lang w:val="zh-CN"/>
                <w14:textFill>
                  <w14:solidFill>
                    <w14:schemeClr w14:val="tx1"/>
                  </w14:solidFill>
                </w14:textFill>
              </w:rPr>
              <w:t>表</w:t>
            </w:r>
            <w:r>
              <w:rPr>
                <w:rFonts w:hint="default" w:ascii="Times New Roman" w:hAnsi="Times New Roman" w:eastAsia="黑体" w:cs="Times New Roman"/>
                <w:bCs/>
                <w:color w:val="000000" w:themeColor="text1"/>
                <w:highlight w:val="none"/>
                <w14:textFill>
                  <w14:solidFill>
                    <w14:schemeClr w14:val="tx1"/>
                  </w14:solidFill>
                </w14:textFill>
              </w:rPr>
              <w:t>4-1</w:t>
            </w:r>
            <w:r>
              <w:rPr>
                <w:rFonts w:hint="default" w:ascii="Times New Roman" w:hAnsi="Times New Roman" w:eastAsia="黑体" w:cs="Times New Roman"/>
                <w:bCs/>
                <w:color w:val="000000" w:themeColor="text1"/>
                <w:highlight w:val="none"/>
                <w14:textFill>
                  <w14:solidFill>
                    <w14:schemeClr w14:val="tx1"/>
                  </w14:solidFill>
                </w14:textFill>
              </w:rPr>
              <w:t>6</w:t>
            </w:r>
            <w:r>
              <w:rPr>
                <w:rFonts w:hint="default" w:ascii="Times New Roman" w:hAnsi="Times New Roman" w:eastAsia="黑体" w:cs="Times New Roman"/>
                <w:bCs/>
                <w:color w:val="000000" w:themeColor="text1"/>
                <w:highlight w:val="none"/>
                <w14:textFill>
                  <w14:solidFill>
                    <w14:schemeClr w14:val="tx1"/>
                  </w14:solidFill>
                </w14:textFill>
              </w:rPr>
              <w:t xml:space="preserve">  </w:t>
            </w:r>
            <w:r>
              <w:rPr>
                <w:rFonts w:hint="default" w:ascii="Times New Roman" w:hAnsi="Times New Roman" w:eastAsia="黑体" w:cs="Times New Roman"/>
                <w:bCs/>
                <w:color w:val="000000" w:themeColor="text1"/>
                <w:highlight w:val="none"/>
                <w:lang w:val="zh-CN"/>
                <w14:textFill>
                  <w14:solidFill>
                    <w14:schemeClr w14:val="tx1"/>
                  </w14:solidFill>
                </w14:textFill>
              </w:rPr>
              <w:t xml:space="preserve"> 项目非正常工况废气及废水排放情况一览表</w:t>
            </w:r>
          </w:p>
          <w:tbl>
            <w:tblPr>
              <w:tblStyle w:val="34"/>
              <w:tblW w:w="50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563"/>
              <w:gridCol w:w="688"/>
              <w:gridCol w:w="1008"/>
              <w:gridCol w:w="1296"/>
              <w:gridCol w:w="1380"/>
              <w:gridCol w:w="889"/>
              <w:gridCol w:w="667"/>
              <w:gridCol w:w="916"/>
              <w:gridCol w:w="749"/>
            </w:tblGrid>
            <w:tr w14:paraId="36B19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29" w:type="pct"/>
                  <w:vAlign w:val="center"/>
                </w:tcPr>
                <w:p w14:paraId="0A6EBF2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序号</w:t>
                  </w:r>
                </w:p>
              </w:tc>
              <w:tc>
                <w:tcPr>
                  <w:tcW w:w="731" w:type="pct"/>
                  <w:gridSpan w:val="2"/>
                  <w:vAlign w:val="center"/>
                </w:tcPr>
                <w:p w14:paraId="55A7E115">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污染源</w:t>
                  </w:r>
                </w:p>
              </w:tc>
              <w:tc>
                <w:tcPr>
                  <w:tcW w:w="589" w:type="pct"/>
                  <w:vAlign w:val="center"/>
                </w:tcPr>
                <w:p w14:paraId="2472B90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非正常排放原因</w:t>
                  </w:r>
                </w:p>
              </w:tc>
              <w:tc>
                <w:tcPr>
                  <w:tcW w:w="757" w:type="pct"/>
                  <w:vAlign w:val="center"/>
                </w:tcPr>
                <w:p w14:paraId="6030DF3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污染物</w:t>
                  </w:r>
                </w:p>
              </w:tc>
              <w:tc>
                <w:tcPr>
                  <w:tcW w:w="806" w:type="pct"/>
                  <w:vAlign w:val="center"/>
                </w:tcPr>
                <w:p w14:paraId="4DF0181F">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非正常排放浓度mg/m</w:t>
                  </w:r>
                  <w:r>
                    <w:rPr>
                      <w:rFonts w:hint="default" w:ascii="Times New Roman" w:hAnsi="Times New Roman" w:cs="Times New Roman" w:eastAsiaTheme="minorEastAsia"/>
                      <w:color w:val="000000" w:themeColor="text1"/>
                      <w:kern w:val="2"/>
                      <w:szCs w:val="21"/>
                      <w:highlight w:val="none"/>
                      <w:vertAlign w:val="superscript"/>
                      <w14:textFill>
                        <w14:solidFill>
                          <w14:schemeClr w14:val="tx1"/>
                        </w14:solidFill>
                      </w14:textFill>
                    </w:rPr>
                    <w:t>3</w:t>
                  </w:r>
                </w:p>
              </w:tc>
              <w:tc>
                <w:tcPr>
                  <w:tcW w:w="520" w:type="pct"/>
                  <w:vAlign w:val="center"/>
                </w:tcPr>
                <w:p w14:paraId="0EDA409F">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非正常排放速率kg/h</w:t>
                  </w:r>
                </w:p>
              </w:tc>
              <w:tc>
                <w:tcPr>
                  <w:tcW w:w="390" w:type="pct"/>
                  <w:vAlign w:val="center"/>
                </w:tcPr>
                <w:p w14:paraId="65EDC1B1">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单次持续时间</w:t>
                  </w:r>
                </w:p>
              </w:tc>
              <w:tc>
                <w:tcPr>
                  <w:tcW w:w="536" w:type="pct"/>
                  <w:vAlign w:val="center"/>
                </w:tcPr>
                <w:p w14:paraId="6D2C8A6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年发生频率（次）</w:t>
                  </w:r>
                </w:p>
              </w:tc>
              <w:tc>
                <w:tcPr>
                  <w:tcW w:w="438" w:type="pct"/>
                  <w:vAlign w:val="center"/>
                </w:tcPr>
                <w:p w14:paraId="60C668DC">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应对措施</w:t>
                  </w:r>
                </w:p>
              </w:tc>
            </w:tr>
            <w:tr w14:paraId="09E5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Align w:val="center"/>
                </w:tcPr>
                <w:p w14:paraId="56422110">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329" w:type="pct"/>
                  <w:vAlign w:val="center"/>
                </w:tcPr>
                <w:p w14:paraId="41FB474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DA</w:t>
                  </w:r>
                </w:p>
                <w:p w14:paraId="5FEAD1F9">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001</w:t>
                  </w:r>
                </w:p>
              </w:tc>
              <w:tc>
                <w:tcPr>
                  <w:tcW w:w="401" w:type="pct"/>
                  <w:vAlign w:val="center"/>
                </w:tcPr>
                <w:p w14:paraId="4E863378">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等离子切割下料工序</w:t>
                  </w:r>
                </w:p>
              </w:tc>
              <w:tc>
                <w:tcPr>
                  <w:tcW w:w="1008" w:type="dxa"/>
                  <w:vAlign w:val="center"/>
                </w:tcPr>
                <w:p w14:paraId="0D715FA8">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布袋破损</w:t>
                  </w:r>
                </w:p>
              </w:tc>
              <w:tc>
                <w:tcPr>
                  <w:tcW w:w="1295" w:type="dxa"/>
                  <w:vAlign w:val="center"/>
                </w:tcPr>
                <w:p w14:paraId="516F7A6F">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颗粒物</w:t>
                  </w:r>
                </w:p>
              </w:tc>
              <w:tc>
                <w:tcPr>
                  <w:tcW w:w="806" w:type="pct"/>
                  <w:vAlign w:val="center"/>
                </w:tcPr>
                <w:p w14:paraId="3CB8DC53">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44.55</w:t>
                  </w:r>
                </w:p>
              </w:tc>
              <w:tc>
                <w:tcPr>
                  <w:tcW w:w="520" w:type="pct"/>
                  <w:vAlign w:val="center"/>
                </w:tcPr>
                <w:p w14:paraId="1AE93A7D">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0.891</w:t>
                  </w:r>
                </w:p>
              </w:tc>
              <w:tc>
                <w:tcPr>
                  <w:tcW w:w="390" w:type="pct"/>
                  <w:vAlign w:val="center"/>
                </w:tcPr>
                <w:p w14:paraId="00759B31">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536" w:type="pct"/>
                  <w:vAlign w:val="center"/>
                </w:tcPr>
                <w:p w14:paraId="3ACF48BE">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438" w:type="pct"/>
                  <w:vMerge w:val="restart"/>
                  <w:vAlign w:val="center"/>
                </w:tcPr>
                <w:p w14:paraId="3D2685B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停止生产，维修设备</w:t>
                  </w:r>
                </w:p>
              </w:tc>
            </w:tr>
            <w:tr w14:paraId="378E0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Align w:val="center"/>
                </w:tcPr>
                <w:p w14:paraId="353CF3C1">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2</w:t>
                  </w:r>
                </w:p>
              </w:tc>
              <w:tc>
                <w:tcPr>
                  <w:tcW w:w="329" w:type="pct"/>
                  <w:vAlign w:val="center"/>
                </w:tcPr>
                <w:p w14:paraId="7E60009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DA</w:t>
                  </w:r>
                </w:p>
                <w:p w14:paraId="440373A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002</w:t>
                  </w:r>
                </w:p>
              </w:tc>
              <w:tc>
                <w:tcPr>
                  <w:tcW w:w="401" w:type="pct"/>
                  <w:vAlign w:val="center"/>
                </w:tcPr>
                <w:p w14:paraId="53789C91">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抛丸工序</w:t>
                  </w:r>
                </w:p>
              </w:tc>
              <w:tc>
                <w:tcPr>
                  <w:tcW w:w="589" w:type="pct"/>
                  <w:vAlign w:val="center"/>
                </w:tcPr>
                <w:p w14:paraId="551B4AC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布袋破损</w:t>
                  </w:r>
                </w:p>
              </w:tc>
              <w:tc>
                <w:tcPr>
                  <w:tcW w:w="757" w:type="pct"/>
                  <w:vAlign w:val="center"/>
                </w:tcPr>
                <w:p w14:paraId="1310A7E9">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颗粒物</w:t>
                  </w:r>
                </w:p>
              </w:tc>
              <w:tc>
                <w:tcPr>
                  <w:tcW w:w="806" w:type="pct"/>
                  <w:vAlign w:val="center"/>
                </w:tcPr>
                <w:p w14:paraId="0106538A">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8.2</w:t>
                  </w:r>
                </w:p>
              </w:tc>
              <w:tc>
                <w:tcPr>
                  <w:tcW w:w="520" w:type="pct"/>
                  <w:vAlign w:val="center"/>
                </w:tcPr>
                <w:p w14:paraId="6ABF89F4">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1.64</w:t>
                  </w:r>
                </w:p>
              </w:tc>
              <w:tc>
                <w:tcPr>
                  <w:tcW w:w="390" w:type="pct"/>
                  <w:vAlign w:val="center"/>
                </w:tcPr>
                <w:p w14:paraId="511C5804">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536" w:type="pct"/>
                  <w:vAlign w:val="center"/>
                </w:tcPr>
                <w:p w14:paraId="476978D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438" w:type="pct"/>
                  <w:vMerge w:val="continue"/>
                  <w:vAlign w:val="center"/>
                </w:tcPr>
                <w:p w14:paraId="344E3683">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r>
            <w:tr w14:paraId="240B6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Align w:val="center"/>
                </w:tcPr>
                <w:p w14:paraId="5ED4A0C4">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3</w:t>
                  </w:r>
                </w:p>
              </w:tc>
              <w:tc>
                <w:tcPr>
                  <w:tcW w:w="329" w:type="pct"/>
                  <w:vAlign w:val="center"/>
                </w:tcPr>
                <w:p w14:paraId="1E2859B8">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DA</w:t>
                  </w:r>
                </w:p>
                <w:p w14:paraId="0D06AB82">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003</w:t>
                  </w:r>
                </w:p>
              </w:tc>
              <w:tc>
                <w:tcPr>
                  <w:tcW w:w="401" w:type="pct"/>
                  <w:vAlign w:val="center"/>
                </w:tcPr>
                <w:p w14:paraId="53EE4E8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腻子打磨</w:t>
                  </w:r>
                </w:p>
              </w:tc>
              <w:tc>
                <w:tcPr>
                  <w:tcW w:w="589" w:type="pct"/>
                  <w:vAlign w:val="center"/>
                </w:tcPr>
                <w:p w14:paraId="784762A3">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布袋破损</w:t>
                  </w:r>
                </w:p>
              </w:tc>
              <w:tc>
                <w:tcPr>
                  <w:tcW w:w="757" w:type="pct"/>
                  <w:vAlign w:val="center"/>
                </w:tcPr>
                <w:p w14:paraId="659FFFFF">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颗粒物</w:t>
                  </w:r>
                </w:p>
              </w:tc>
              <w:tc>
                <w:tcPr>
                  <w:tcW w:w="806" w:type="pct"/>
                  <w:vAlign w:val="center"/>
                </w:tcPr>
                <w:p w14:paraId="462CD259">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bidi="zh-CN"/>
                      <w14:textFill>
                        <w14:solidFill>
                          <w14:schemeClr w14:val="tx1"/>
                        </w14:solidFill>
                      </w14:textFill>
                    </w:rPr>
                    <w:t>95</w:t>
                  </w:r>
                </w:p>
              </w:tc>
              <w:tc>
                <w:tcPr>
                  <w:tcW w:w="520" w:type="pct"/>
                  <w:vAlign w:val="center"/>
                </w:tcPr>
                <w:p w14:paraId="408E6BB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bidi="zh-CN"/>
                      <w14:textFill>
                        <w14:solidFill>
                          <w14:schemeClr w14:val="tx1"/>
                        </w14:solidFill>
                      </w14:textFill>
                    </w:rPr>
                    <w:t>0.95</w:t>
                  </w:r>
                </w:p>
              </w:tc>
              <w:tc>
                <w:tcPr>
                  <w:tcW w:w="390" w:type="pct"/>
                  <w:vAlign w:val="center"/>
                </w:tcPr>
                <w:p w14:paraId="32C6F49E">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536" w:type="pct"/>
                  <w:vAlign w:val="center"/>
                </w:tcPr>
                <w:p w14:paraId="15A3208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438" w:type="pct"/>
                  <w:vMerge w:val="continue"/>
                  <w:vAlign w:val="center"/>
                </w:tcPr>
                <w:p w14:paraId="2E238754">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r>
            <w:tr w14:paraId="64552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Merge w:val="restart"/>
                  <w:vAlign w:val="center"/>
                </w:tcPr>
                <w:p w14:paraId="63CAEEC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4</w:t>
                  </w:r>
                </w:p>
              </w:tc>
              <w:tc>
                <w:tcPr>
                  <w:tcW w:w="329" w:type="pct"/>
                  <w:vMerge w:val="restart"/>
                  <w:vAlign w:val="center"/>
                </w:tcPr>
                <w:p w14:paraId="7B37D8B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DA</w:t>
                  </w:r>
                </w:p>
                <w:p w14:paraId="288268DC">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004</w:t>
                  </w:r>
                </w:p>
              </w:tc>
              <w:tc>
                <w:tcPr>
                  <w:tcW w:w="401" w:type="pct"/>
                  <w:vMerge w:val="restart"/>
                  <w:vAlign w:val="center"/>
                </w:tcPr>
                <w:p w14:paraId="2DFD7B31">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喷漆生产线</w:t>
                  </w:r>
                </w:p>
              </w:tc>
              <w:tc>
                <w:tcPr>
                  <w:tcW w:w="589" w:type="pct"/>
                  <w:vMerge w:val="restart"/>
                  <w:vAlign w:val="center"/>
                </w:tcPr>
                <w:p w14:paraId="706BD44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废气处理装置故障</w:t>
                  </w:r>
                </w:p>
              </w:tc>
              <w:tc>
                <w:tcPr>
                  <w:tcW w:w="757" w:type="pct"/>
                  <w:vAlign w:val="center"/>
                </w:tcPr>
                <w:p w14:paraId="73BB7A9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VOCs</w:t>
                  </w:r>
                </w:p>
              </w:tc>
              <w:tc>
                <w:tcPr>
                  <w:tcW w:w="1378" w:type="dxa"/>
                  <w:vAlign w:val="center"/>
                </w:tcPr>
                <w:p w14:paraId="7A5AC1C0">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68.47</w:t>
                  </w:r>
                </w:p>
              </w:tc>
              <w:tc>
                <w:tcPr>
                  <w:tcW w:w="890" w:type="dxa"/>
                  <w:vAlign w:val="center"/>
                </w:tcPr>
                <w:p w14:paraId="06C7ED4C">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3.287</w:t>
                  </w:r>
                </w:p>
              </w:tc>
              <w:tc>
                <w:tcPr>
                  <w:tcW w:w="390" w:type="pct"/>
                  <w:vMerge w:val="restart"/>
                  <w:vAlign w:val="center"/>
                </w:tcPr>
                <w:p w14:paraId="3EE72A8A">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536" w:type="pct"/>
                  <w:vMerge w:val="restart"/>
                  <w:vAlign w:val="center"/>
                </w:tcPr>
                <w:p w14:paraId="4557D73C">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1</w:t>
                  </w:r>
                </w:p>
              </w:tc>
              <w:tc>
                <w:tcPr>
                  <w:tcW w:w="438" w:type="pct"/>
                  <w:vMerge w:val="continue"/>
                  <w:vAlign w:val="center"/>
                </w:tcPr>
                <w:p w14:paraId="55E8F03D">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r>
            <w:tr w14:paraId="44141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Merge w:val="continue"/>
                  <w:vAlign w:val="center"/>
                </w:tcPr>
                <w:p w14:paraId="32AD295B">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329" w:type="pct"/>
                  <w:vMerge w:val="continue"/>
                  <w:vAlign w:val="center"/>
                </w:tcPr>
                <w:p w14:paraId="38184A4C">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401" w:type="pct"/>
                  <w:vMerge w:val="continue"/>
                  <w:vAlign w:val="center"/>
                </w:tcPr>
                <w:p w14:paraId="16E70EF8">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589" w:type="pct"/>
                  <w:vMerge w:val="continue"/>
                  <w:vAlign w:val="center"/>
                </w:tcPr>
                <w:p w14:paraId="3935ECE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757" w:type="pct"/>
                  <w:vAlign w:val="center"/>
                </w:tcPr>
                <w:p w14:paraId="64CE2538">
                  <w:pPr>
                    <w:pStyle w:val="58"/>
                    <w:spacing w:before="24" w:after="24"/>
                    <w:rPr>
                      <w:rFonts w:hint="default" w:ascii="Times New Roman" w:hAnsi="Times New Roman" w:cs="Times New Roman" w:eastAsiaTheme="minorEastAsia"/>
                      <w:color w:val="000000" w:themeColor="text1"/>
                      <w:kern w:val="2"/>
                      <w:szCs w:val="21"/>
                      <w:highlight w:val="none"/>
                      <w:lang w:bidi="zh-CN"/>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二甲苯</w:t>
                  </w:r>
                </w:p>
              </w:tc>
              <w:tc>
                <w:tcPr>
                  <w:tcW w:w="1378" w:type="dxa"/>
                  <w:vAlign w:val="center"/>
                </w:tcPr>
                <w:p w14:paraId="5376C43D">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u w:val="single"/>
                      <w:lang w:bidi="zh-CN"/>
                      <w14:textFill>
                        <w14:solidFill>
                          <w14:schemeClr w14:val="tx1"/>
                        </w14:solidFill>
                      </w14:textFill>
                    </w:rPr>
                    <w:t>17.02</w:t>
                  </w:r>
                </w:p>
              </w:tc>
              <w:tc>
                <w:tcPr>
                  <w:tcW w:w="890" w:type="dxa"/>
                  <w:vAlign w:val="center"/>
                </w:tcPr>
                <w:p w14:paraId="0E532B69">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u w:val="single"/>
                      <w:lang w:bidi="zh-CN"/>
                      <w14:textFill>
                        <w14:solidFill>
                          <w14:schemeClr w14:val="tx1"/>
                        </w14:solidFill>
                      </w14:textFill>
                    </w:rPr>
                    <w:t>0.801</w:t>
                  </w:r>
                </w:p>
              </w:tc>
              <w:tc>
                <w:tcPr>
                  <w:tcW w:w="390" w:type="pct"/>
                  <w:vMerge w:val="continue"/>
                  <w:vAlign w:val="center"/>
                </w:tcPr>
                <w:p w14:paraId="27B5070E">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536" w:type="pct"/>
                  <w:vMerge w:val="continue"/>
                  <w:vAlign w:val="center"/>
                </w:tcPr>
                <w:p w14:paraId="66DC687E">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438" w:type="pct"/>
                  <w:vMerge w:val="continue"/>
                  <w:vAlign w:val="center"/>
                </w:tcPr>
                <w:p w14:paraId="30A1A3C2">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r>
            <w:tr w14:paraId="3707D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9" w:type="pct"/>
                  <w:vMerge w:val="continue"/>
                  <w:vAlign w:val="center"/>
                </w:tcPr>
                <w:p w14:paraId="51F23F3D">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329" w:type="pct"/>
                  <w:vMerge w:val="continue"/>
                  <w:vAlign w:val="center"/>
                </w:tcPr>
                <w:p w14:paraId="5570DCA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401" w:type="pct"/>
                  <w:vMerge w:val="continue"/>
                  <w:vAlign w:val="center"/>
                </w:tcPr>
                <w:p w14:paraId="65CDD62C">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589" w:type="pct"/>
                  <w:vMerge w:val="continue"/>
                  <w:vAlign w:val="center"/>
                </w:tcPr>
                <w:p w14:paraId="249E3838">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757" w:type="pct"/>
                  <w:vAlign w:val="center"/>
                </w:tcPr>
                <w:p w14:paraId="64DF74D6">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14:textFill>
                        <w14:solidFill>
                          <w14:schemeClr w14:val="tx1"/>
                        </w14:solidFill>
                      </w14:textFill>
                    </w:rPr>
                    <w:t>颗粒物</w:t>
                  </w:r>
                </w:p>
              </w:tc>
              <w:tc>
                <w:tcPr>
                  <w:tcW w:w="1378" w:type="dxa"/>
                  <w:vAlign w:val="center"/>
                </w:tcPr>
                <w:p w14:paraId="6B92344B">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19.02</w:t>
                  </w:r>
                </w:p>
              </w:tc>
              <w:tc>
                <w:tcPr>
                  <w:tcW w:w="890" w:type="dxa"/>
                  <w:vAlign w:val="center"/>
                </w:tcPr>
                <w:p w14:paraId="62ED196E">
                  <w:pPr>
                    <w:widowControl/>
                    <w:adjustRightInd w:val="0"/>
                    <w:snapToGrid w:val="0"/>
                    <w:ind w:left="-105" w:leftChars="-50" w:right="-105" w:rightChars="-50"/>
                    <w:jc w:val="center"/>
                    <w:textAlignment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0.913</w:t>
                  </w:r>
                </w:p>
              </w:tc>
              <w:tc>
                <w:tcPr>
                  <w:tcW w:w="390" w:type="pct"/>
                  <w:vMerge w:val="continue"/>
                  <w:vAlign w:val="center"/>
                </w:tcPr>
                <w:p w14:paraId="3CF5784A">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536" w:type="pct"/>
                  <w:vMerge w:val="continue"/>
                  <w:vAlign w:val="center"/>
                </w:tcPr>
                <w:p w14:paraId="301474DE">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c>
                <w:tcPr>
                  <w:tcW w:w="438" w:type="pct"/>
                  <w:vMerge w:val="continue"/>
                  <w:vAlign w:val="center"/>
                </w:tcPr>
                <w:p w14:paraId="1BD43527">
                  <w:pPr>
                    <w:pStyle w:val="58"/>
                    <w:spacing w:before="24" w:after="24"/>
                    <w:rPr>
                      <w:rFonts w:hint="default" w:ascii="Times New Roman" w:hAnsi="Times New Roman" w:cs="Times New Roman" w:eastAsiaTheme="minorEastAsia"/>
                      <w:color w:val="000000" w:themeColor="text1"/>
                      <w:kern w:val="2"/>
                      <w:szCs w:val="21"/>
                      <w:highlight w:val="none"/>
                      <w14:textFill>
                        <w14:solidFill>
                          <w14:schemeClr w14:val="tx1"/>
                        </w14:solidFill>
                      </w14:textFill>
                    </w:rPr>
                  </w:pPr>
                </w:p>
              </w:tc>
            </w:tr>
          </w:tbl>
          <w:p w14:paraId="43E0697B">
            <w:pPr>
              <w:pStyle w:val="7"/>
              <w:numPr>
                <w:ilvl w:val="3"/>
                <w:numId w:val="0"/>
              </w:numPr>
              <w:spacing w:line="360" w:lineRule="auto"/>
              <w:ind w:firstLine="480" w:firstLineChars="200"/>
              <w:rPr>
                <w:rFonts w:hint="default" w:ascii="Times New Roman" w:hAnsi="Times New Roman" w:cs="Times New Roman"/>
                <w:b w:val="0"/>
                <w:bCs/>
                <w:color w:val="000000" w:themeColor="text1"/>
                <w:sz w:val="24"/>
                <w:highlight w:val="none"/>
                <w14:textFill>
                  <w14:solidFill>
                    <w14:schemeClr w14:val="tx1"/>
                  </w14:solidFill>
                </w14:textFill>
              </w:rPr>
            </w:pPr>
            <w:r>
              <w:rPr>
                <w:rFonts w:hint="default" w:ascii="Times New Roman" w:hAnsi="Times New Roman" w:cs="Times New Roman"/>
                <w:b w:val="0"/>
                <w:bCs/>
                <w:color w:val="000000" w:themeColor="text1"/>
                <w:sz w:val="24"/>
                <w:highlight w:val="none"/>
                <w14:textFill>
                  <w14:solidFill>
                    <w14:schemeClr w14:val="tx1"/>
                  </w14:solidFill>
                </w14:textFill>
              </w:rPr>
              <w:t>（2）非正常工况污染控制措施</w:t>
            </w:r>
          </w:p>
          <w:p w14:paraId="133B6BF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为了进一步减少非正常工况的污染物排放量，本项目拟采取以下措施：</w:t>
            </w:r>
          </w:p>
          <w:p w14:paraId="69A9221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1 \* GB3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①</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采用双回路供电，防止突然断电引起非正常排放。</w:t>
            </w:r>
          </w:p>
          <w:p w14:paraId="188CC96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2 \* GB3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②</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定期检查、维修、维护各种设备，尤其是废气、废水处理设施、各种动力泵、各种风机、阀门等。</w:t>
            </w:r>
          </w:p>
          <w:p w14:paraId="6C167AF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3 \* GB3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③</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加强管理和培训，防止因操作失误或玩忽职守引起非正常排放。</w:t>
            </w:r>
          </w:p>
          <w:p w14:paraId="3577F85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4 \* GB3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④</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一旦出现非正常工况，需要停产。</w:t>
            </w:r>
          </w:p>
          <w:p w14:paraId="567F452C">
            <w:pPr>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 xml:space="preserve">3、废气污染治理设施可行性分析   </w:t>
            </w:r>
          </w:p>
          <w:p w14:paraId="6B8D96D4">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本项目生产运行过程中有组织排放的大气污染物包括喷漆与烘干工序产生的漆雾及挥发性有机废气、抛丸及打磨、焊接工序</w:t>
            </w:r>
            <w:r>
              <w:rPr>
                <w:rFonts w:hint="default" w:ascii="Times New Roman" w:hAnsi="Times New Roman" w:cs="Times New Roman"/>
                <w:color w:val="000000" w:themeColor="text1"/>
                <w:sz w:val="24"/>
                <w:highlight w:val="none"/>
                <w:u w:val="single"/>
                <w:lang w:eastAsia="zh-CN"/>
                <w14:textFill>
                  <w14:solidFill>
                    <w14:schemeClr w14:val="tx1"/>
                  </w14:solidFill>
                </w14:textFill>
              </w:rPr>
              <w:t>、</w:t>
            </w:r>
            <w:r>
              <w:rPr>
                <w:rFonts w:hint="default" w:ascii="Times New Roman" w:hAnsi="Times New Roman" w:cs="Times New Roman"/>
                <w:color w:val="000000" w:themeColor="text1"/>
                <w:kern w:val="2"/>
                <w:sz w:val="24"/>
                <w:szCs w:val="24"/>
                <w:highlight w:val="none"/>
                <w:u w:val="single"/>
                <w:lang w:val="en-US" w:eastAsia="zh-CN"/>
                <w14:textFill>
                  <w14:solidFill>
                    <w14:schemeClr w14:val="tx1"/>
                  </w14:solidFill>
                </w14:textFill>
              </w:rPr>
              <w:t>填充工序堆存</w:t>
            </w:r>
            <w:r>
              <w:rPr>
                <w:rFonts w:hint="default" w:ascii="Times New Roman" w:hAnsi="Times New Roman" w:cs="Times New Roman"/>
                <w:color w:val="000000" w:themeColor="text1"/>
                <w:kern w:val="2"/>
                <w:sz w:val="24"/>
                <w:szCs w:val="24"/>
                <w:highlight w:val="none"/>
                <w:u w:val="single"/>
                <w:lang w:val="en-US" w:eastAsia="zh-CN"/>
                <w14:textFill>
                  <w14:solidFill>
                    <w14:schemeClr w14:val="tx1"/>
                  </w14:solidFill>
                </w14:textFill>
              </w:rPr>
              <w:t>扬尘、</w:t>
            </w:r>
            <w:r>
              <w:rPr>
                <w:rFonts w:hint="default" w:ascii="Times New Roman" w:hAnsi="Times New Roman" w:cs="Times New Roman"/>
                <w:color w:val="000000" w:themeColor="text1"/>
                <w:sz w:val="24"/>
                <w:szCs w:val="24"/>
                <w:highlight w:val="none"/>
                <w:u w:val="single"/>
                <w14:textFill>
                  <w14:solidFill>
                    <w14:schemeClr w14:val="tx1"/>
                  </w14:solidFill>
                </w14:textFill>
              </w:rPr>
              <w:t>装卸过程起尘</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14:textFill>
                  <w14:solidFill>
                    <w14:schemeClr w14:val="tx1"/>
                  </w14:solidFill>
                </w14:textFill>
              </w:rPr>
              <w:t>输送</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4"/>
                <w:szCs w:val="24"/>
                <w:highlight w:val="none"/>
                <w:u w:val="single"/>
                <w14:textFill>
                  <w14:solidFill>
                    <w14:schemeClr w14:val="tx1"/>
                  </w14:solidFill>
                </w14:textFill>
              </w:rPr>
              <w:t>粉尘</w:t>
            </w:r>
            <w:r>
              <w:rPr>
                <w:rFonts w:hint="default" w:ascii="Times New Roman" w:hAnsi="Times New Roman" w:cs="Times New Roman"/>
                <w:color w:val="000000" w:themeColor="text1"/>
                <w:sz w:val="24"/>
                <w:highlight w:val="none"/>
                <w14:textFill>
                  <w14:solidFill>
                    <w14:schemeClr w14:val="tx1"/>
                  </w14:solidFill>
                </w14:textFill>
              </w:rPr>
              <w:t>。</w:t>
            </w:r>
          </w:p>
          <w:p w14:paraId="31E027C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（1）废气的防治措施</w:t>
            </w:r>
          </w:p>
          <w:p w14:paraId="7F637C6C">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本项目等离子切割下料工序产生的颗粒物经</w:t>
            </w:r>
            <w:r>
              <w:rPr>
                <w:rFonts w:hint="default" w:ascii="Times New Roman" w:hAnsi="Times New Roman" w:cs="Times New Roman"/>
                <w:color w:val="000000" w:themeColor="text1"/>
                <w:sz w:val="24"/>
                <w:highlight w:val="none"/>
                <w:lang w:val="en-US" w:eastAsia="zh-CN"/>
                <w14:textFill>
                  <w14:solidFill>
                    <w14:schemeClr w14:val="tx1"/>
                  </w14:solidFill>
                </w14:textFill>
              </w:rPr>
              <w:t>集气罩收集后</w:t>
            </w:r>
            <w:r>
              <w:rPr>
                <w:rFonts w:hint="default" w:ascii="Times New Roman" w:hAnsi="Times New Roman" w:cs="Times New Roman"/>
                <w:color w:val="000000" w:themeColor="text1"/>
                <w:sz w:val="24"/>
                <w:highlight w:val="none"/>
                <w14:textFill>
                  <w14:solidFill>
                    <w14:schemeClr w14:val="tx1"/>
                  </w14:solidFill>
                </w14:textFill>
              </w:rPr>
              <w:t>布袋除尘+15m高排气筒（DA001）排放；预处理（抛丸）工序产生的颗粒物经</w:t>
            </w:r>
            <w:r>
              <w:rPr>
                <w:rFonts w:hint="default" w:ascii="Times New Roman" w:hAnsi="Times New Roman" w:cs="Times New Roman"/>
                <w:color w:val="000000" w:themeColor="text1"/>
                <w:sz w:val="24"/>
                <w:highlight w:val="none"/>
                <w:lang w:val="en-US" w:eastAsia="zh-CN"/>
                <w14:textFill>
                  <w14:solidFill>
                    <w14:schemeClr w14:val="tx1"/>
                  </w14:solidFill>
                </w14:textFill>
              </w:rPr>
              <w:t>集气罩收集后</w:t>
            </w:r>
            <w:r>
              <w:rPr>
                <w:rFonts w:hint="default" w:ascii="Times New Roman" w:hAnsi="Times New Roman" w:cs="Times New Roman"/>
                <w:color w:val="000000" w:themeColor="text1"/>
                <w:sz w:val="24"/>
                <w:highlight w:val="none"/>
                <w14:textFill>
                  <w14:solidFill>
                    <w14:schemeClr w14:val="tx1"/>
                  </w14:solidFill>
                </w14:textFill>
              </w:rPr>
              <w:t>布袋除尘+15m高排气筒（DA002）排放；腻子打磨产生的颗粒物经布袋除尘</w:t>
            </w:r>
            <w:r>
              <w:rPr>
                <w:rFonts w:hint="default" w:ascii="Times New Roman" w:hAnsi="Times New Roman" w:cs="Times New Roman"/>
                <w:color w:val="000000" w:themeColor="text1"/>
                <w:sz w:val="24"/>
                <w:highlight w:val="none"/>
                <w14:textFill>
                  <w14:solidFill>
                    <w14:schemeClr w14:val="tx1"/>
                  </w14:solidFill>
                </w14:textFill>
              </w:rPr>
              <w:t>处理后无组织排放</w:t>
            </w:r>
            <w:r>
              <w:rPr>
                <w:rFonts w:hint="default" w:ascii="Times New Roman" w:hAnsi="Times New Roman" w:cs="Times New Roman"/>
                <w:color w:val="000000" w:themeColor="text1"/>
                <w:sz w:val="24"/>
                <w:highlight w:val="none"/>
                <w14:textFill>
                  <w14:solidFill>
                    <w14:schemeClr w14:val="tx1"/>
                  </w14:solidFill>
                </w14:textFill>
              </w:rPr>
              <w:t>；喷漆及烘干工序产生的颗粒物及挥发性有机物经</w:t>
            </w:r>
            <w:r>
              <w:rPr>
                <w:rFonts w:hint="default" w:ascii="Times New Roman" w:hAnsi="Times New Roman" w:cs="Times New Roman"/>
                <w:color w:val="000000" w:themeColor="text1"/>
                <w:sz w:val="24"/>
                <w:highlight w:val="none"/>
                <w:lang w:val="en-US" w:eastAsia="zh-CN"/>
                <w14:textFill>
                  <w14:solidFill>
                    <w14:schemeClr w14:val="tx1"/>
                  </w14:solidFill>
                </w14:textFill>
              </w:rPr>
              <w:t>负压收集后</w:t>
            </w:r>
            <w:r>
              <w:rPr>
                <w:rFonts w:hint="default" w:ascii="Times New Roman" w:hAnsi="Times New Roman" w:cs="Times New Roman"/>
                <w:color w:val="000000" w:themeColor="text1"/>
                <w:sz w:val="24"/>
                <w:highlight w:val="none"/>
                <w14:textFill>
                  <w14:solidFill>
                    <w14:schemeClr w14:val="tx1"/>
                  </w14:solidFill>
                </w14:textFill>
              </w:rPr>
              <w:t>水喷淋+干式过滤器+活性炭吸附/脱附+催化燃烧+15m高排气筒（DA00</w:t>
            </w:r>
            <w:r>
              <w:rPr>
                <w:rFonts w:hint="default" w:ascii="Times New Roman" w:hAnsi="Times New Roman" w:cs="Times New Roman"/>
                <w:color w:val="000000" w:themeColor="text1"/>
                <w:sz w:val="24"/>
                <w:highlight w:val="none"/>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）排放；焊接烟尘经移动式烟尘净化器处理后无组织排放；下料、腻子打磨、喷漆工序未收集的废气经车间通风无组织排放</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kern w:val="2"/>
                <w:sz w:val="24"/>
                <w:szCs w:val="24"/>
                <w:highlight w:val="none"/>
                <w:u w:val="single"/>
                <w:lang w:val="en-US" w:eastAsia="zh-CN"/>
                <w14:textFill>
                  <w14:solidFill>
                    <w14:schemeClr w14:val="tx1"/>
                  </w14:solidFill>
                </w14:textFill>
              </w:rPr>
              <w:t>填充工序堆存</w:t>
            </w:r>
            <w:r>
              <w:rPr>
                <w:rFonts w:hint="default" w:ascii="Times New Roman" w:hAnsi="Times New Roman" w:cs="Times New Roman"/>
                <w:color w:val="000000" w:themeColor="text1"/>
                <w:kern w:val="2"/>
                <w:sz w:val="24"/>
                <w:szCs w:val="24"/>
                <w:highlight w:val="none"/>
                <w:u w:val="single"/>
                <w:lang w:val="en-US" w:eastAsia="zh-CN"/>
                <w14:textFill>
                  <w14:solidFill>
                    <w14:schemeClr w14:val="tx1"/>
                  </w14:solidFill>
                </w14:textFill>
              </w:rPr>
              <w:t>扬尘、</w:t>
            </w:r>
            <w:r>
              <w:rPr>
                <w:rFonts w:hint="default" w:ascii="Times New Roman" w:hAnsi="Times New Roman" w:cs="Times New Roman"/>
                <w:color w:val="000000" w:themeColor="text1"/>
                <w:sz w:val="24"/>
                <w:szCs w:val="24"/>
                <w:highlight w:val="none"/>
                <w:u w:val="single"/>
                <w14:textFill>
                  <w14:solidFill>
                    <w14:schemeClr w14:val="tx1"/>
                  </w14:solidFill>
                </w14:textFill>
              </w:rPr>
              <w:t>装卸过程起尘</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14:textFill>
                  <w14:solidFill>
                    <w14:schemeClr w14:val="tx1"/>
                  </w14:solidFill>
                </w14:textFill>
              </w:rPr>
              <w:t>输送</w:t>
            </w: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4"/>
                <w:szCs w:val="24"/>
                <w:highlight w:val="none"/>
                <w:u w:val="single"/>
                <w14:textFill>
                  <w14:solidFill>
                    <w14:schemeClr w14:val="tx1"/>
                  </w14:solidFill>
                </w14:textFill>
              </w:rPr>
              <w:t>粉尘</w:t>
            </w:r>
            <w:r>
              <w:rPr>
                <w:rFonts w:hint="default" w:ascii="Times New Roman" w:hAnsi="Times New Roman" w:cs="Times New Roman"/>
                <w:color w:val="000000" w:themeColor="text1"/>
                <w:sz w:val="24"/>
                <w:szCs w:val="24"/>
                <w:highlight w:val="none"/>
                <w:u w:val="single"/>
                <w:lang w:val="en-US" w:eastAsia="zh-CN"/>
                <w14:textFill>
                  <w14:solidFill>
                    <w14:schemeClr w14:val="tx1"/>
                  </w14:solidFill>
                </w14:textFill>
              </w:rPr>
              <w:t>经洒水抑尘无组织排放。</w:t>
            </w:r>
          </w:p>
          <w:p w14:paraId="26A927B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本项目废气收集处理情况见表4-1</w:t>
            </w:r>
            <w:r>
              <w:rPr>
                <w:rFonts w:hint="default" w:ascii="Times New Roman" w:hAnsi="Times New Roman" w:cs="Times New Roman"/>
                <w:color w:val="000000" w:themeColor="text1"/>
                <w:sz w:val="24"/>
                <w:highlight w:val="none"/>
                <w14:textFill>
                  <w14:solidFill>
                    <w14:schemeClr w14:val="tx1"/>
                  </w14:solidFill>
                </w14:textFill>
              </w:rPr>
              <w:t>7</w:t>
            </w:r>
            <w:r>
              <w:rPr>
                <w:rFonts w:hint="default" w:ascii="Times New Roman" w:hAnsi="Times New Roman" w:cs="Times New Roman"/>
                <w:color w:val="000000" w:themeColor="text1"/>
                <w:sz w:val="24"/>
                <w:highlight w:val="none"/>
                <w14:textFill>
                  <w14:solidFill>
                    <w14:schemeClr w14:val="tx1"/>
                  </w14:solidFill>
                </w14:textFill>
              </w:rPr>
              <w:t>。</w:t>
            </w:r>
          </w:p>
          <w:p w14:paraId="42660B5F">
            <w:pPr>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表4-1</w:t>
            </w:r>
            <w:r>
              <w:rPr>
                <w:rFonts w:hint="default" w:ascii="Times New Roman" w:hAnsi="Times New Roman" w:cs="Times New Roman"/>
                <w:b/>
                <w:bCs/>
                <w:color w:val="000000" w:themeColor="text1"/>
                <w:highlight w:val="none"/>
                <w14:textFill>
                  <w14:solidFill>
                    <w14:schemeClr w14:val="tx1"/>
                  </w14:solidFill>
                </w14:textFill>
              </w:rPr>
              <w:t>7</w:t>
            </w:r>
            <w:r>
              <w:rPr>
                <w:rFonts w:hint="default" w:ascii="Times New Roman" w:hAnsi="Times New Roman" w:cs="Times New Roman"/>
                <w:b/>
                <w:bCs/>
                <w:color w:val="000000" w:themeColor="text1"/>
                <w:highlight w:val="none"/>
                <w14:textFill>
                  <w14:solidFill>
                    <w14:schemeClr w14:val="tx1"/>
                  </w14:solidFill>
                </w14:textFill>
              </w:rPr>
              <w:t xml:space="preserve"> 本项目废气治理措施一览表</w:t>
            </w:r>
          </w:p>
          <w:tbl>
            <w:tblPr>
              <w:tblStyle w:val="8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22"/>
              <w:gridCol w:w="974"/>
              <w:gridCol w:w="3219"/>
              <w:gridCol w:w="1205"/>
              <w:gridCol w:w="945"/>
            </w:tblGrid>
            <w:tr w14:paraId="4A0EF6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5FCF1E91">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污染源</w:t>
                  </w:r>
                </w:p>
              </w:tc>
              <w:tc>
                <w:tcPr>
                  <w:tcW w:w="575" w:type="pct"/>
                  <w:tcBorders>
                    <w:top w:val="single" w:color="000000" w:sz="4" w:space="0"/>
                    <w:bottom w:val="single" w:color="000000" w:sz="4" w:space="0"/>
                  </w:tcBorders>
                  <w:vAlign w:val="center"/>
                </w:tcPr>
                <w:p w14:paraId="27D47F76">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主要污染物</w:t>
                  </w:r>
                </w:p>
              </w:tc>
              <w:tc>
                <w:tcPr>
                  <w:tcW w:w="1900" w:type="pct"/>
                  <w:tcBorders>
                    <w:top w:val="single" w:color="000000" w:sz="4" w:space="0"/>
                    <w:bottom w:val="single" w:color="000000" w:sz="4" w:space="0"/>
                  </w:tcBorders>
                  <w:vAlign w:val="center"/>
                </w:tcPr>
                <w:p w14:paraId="1E2AA318">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污染防治措施</w:t>
                  </w:r>
                </w:p>
              </w:tc>
              <w:tc>
                <w:tcPr>
                  <w:tcW w:w="712" w:type="pct"/>
                  <w:tcBorders>
                    <w:top w:val="single" w:color="000000" w:sz="4" w:space="0"/>
                    <w:bottom w:val="single" w:color="000000" w:sz="4" w:space="0"/>
                  </w:tcBorders>
                  <w:vAlign w:val="center"/>
                </w:tcPr>
                <w:p w14:paraId="64BF7F4C">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风机风量（ m</w:t>
                  </w:r>
                  <w:r>
                    <w:rPr>
                      <w:rFonts w:hint="default" w:ascii="Times New Roman" w:hAnsi="Times New Roman" w:cs="Times New Roman" w:eastAsiaTheme="minorEastAsia"/>
                      <w:color w:val="000000" w:themeColor="text1"/>
                      <w:szCs w:val="21"/>
                      <w:highlight w:val="none"/>
                      <w:vertAlign w:val="superscript"/>
                      <w:lang w:eastAsia="en-US"/>
                      <w14:textFill>
                        <w14:solidFill>
                          <w14:schemeClr w14:val="tx1"/>
                        </w14:solidFill>
                      </w14:textFill>
                    </w:rPr>
                    <w:t>3</w:t>
                  </w: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/h）</w:t>
                  </w:r>
                </w:p>
              </w:tc>
              <w:tc>
                <w:tcPr>
                  <w:tcW w:w="558" w:type="pct"/>
                  <w:tcBorders>
                    <w:top w:val="single" w:color="000000" w:sz="4" w:space="0"/>
                    <w:bottom w:val="single" w:color="000000" w:sz="4" w:space="0"/>
                    <w:right w:val="single" w:color="000000" w:sz="4" w:space="0"/>
                  </w:tcBorders>
                  <w:vAlign w:val="center"/>
                </w:tcPr>
                <w:p w14:paraId="21836D90">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去除效率</w:t>
                  </w:r>
                </w:p>
              </w:tc>
            </w:tr>
            <w:tr w14:paraId="18B4A9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3B1F9109">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等离子切割下料</w:t>
                  </w:r>
                </w:p>
              </w:tc>
              <w:tc>
                <w:tcPr>
                  <w:tcW w:w="575" w:type="pct"/>
                  <w:tcBorders>
                    <w:top w:val="single" w:color="000000" w:sz="4" w:space="0"/>
                    <w:bottom w:val="single" w:color="000000" w:sz="4" w:space="0"/>
                  </w:tcBorders>
                  <w:vAlign w:val="center"/>
                </w:tcPr>
                <w:p w14:paraId="450BC955">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70378B28">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布袋除尘+15m高排气筒（DA001）</w:t>
                  </w:r>
                </w:p>
              </w:tc>
              <w:tc>
                <w:tcPr>
                  <w:tcW w:w="712" w:type="pct"/>
                  <w:tcBorders>
                    <w:top w:val="single" w:color="000000" w:sz="4" w:space="0"/>
                    <w:bottom w:val="single" w:color="000000" w:sz="4" w:space="0"/>
                  </w:tcBorders>
                  <w:vAlign w:val="center"/>
                </w:tcPr>
                <w:p w14:paraId="1DE27019">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20000</w:t>
                  </w:r>
                </w:p>
              </w:tc>
              <w:tc>
                <w:tcPr>
                  <w:tcW w:w="558" w:type="pct"/>
                  <w:tcBorders>
                    <w:top w:val="single" w:color="000000" w:sz="4" w:space="0"/>
                    <w:bottom w:val="single" w:color="000000" w:sz="4" w:space="0"/>
                    <w:right w:val="single" w:color="000000" w:sz="4" w:space="0"/>
                  </w:tcBorders>
                  <w:vAlign w:val="center"/>
                </w:tcPr>
                <w:p w14:paraId="12F33E96">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95%</w:t>
                  </w:r>
                </w:p>
              </w:tc>
            </w:tr>
            <w:tr w14:paraId="46F2C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65CDF542">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抛丸</w:t>
                  </w:r>
                </w:p>
              </w:tc>
              <w:tc>
                <w:tcPr>
                  <w:tcW w:w="575" w:type="pct"/>
                  <w:tcBorders>
                    <w:top w:val="single" w:color="000000" w:sz="4" w:space="0"/>
                    <w:bottom w:val="single" w:color="000000" w:sz="4" w:space="0"/>
                  </w:tcBorders>
                  <w:vAlign w:val="center"/>
                </w:tcPr>
                <w:p w14:paraId="2946CC3B">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1C15B273">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布袋除尘+15m高排气筒（DA002）</w:t>
                  </w:r>
                </w:p>
              </w:tc>
              <w:tc>
                <w:tcPr>
                  <w:tcW w:w="712" w:type="pct"/>
                  <w:tcBorders>
                    <w:top w:val="single" w:color="000000" w:sz="4" w:space="0"/>
                    <w:bottom w:val="single" w:color="000000" w:sz="4" w:space="0"/>
                  </w:tcBorders>
                  <w:vAlign w:val="center"/>
                </w:tcPr>
                <w:p w14:paraId="076BB667">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20000</w:t>
                  </w:r>
                </w:p>
              </w:tc>
              <w:tc>
                <w:tcPr>
                  <w:tcW w:w="558" w:type="pct"/>
                  <w:tcBorders>
                    <w:top w:val="single" w:color="000000" w:sz="4" w:space="0"/>
                    <w:bottom w:val="single" w:color="000000" w:sz="4" w:space="0"/>
                    <w:right w:val="single" w:color="000000" w:sz="4" w:space="0"/>
                  </w:tcBorders>
                  <w:vAlign w:val="center"/>
                </w:tcPr>
                <w:p w14:paraId="4A4151FA">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95%</w:t>
                  </w:r>
                </w:p>
              </w:tc>
            </w:tr>
            <w:tr w14:paraId="7C1077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6A8AE0BE">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腻子打磨</w:t>
                  </w:r>
                </w:p>
              </w:tc>
              <w:tc>
                <w:tcPr>
                  <w:tcW w:w="575" w:type="pct"/>
                  <w:tcBorders>
                    <w:top w:val="single" w:color="000000" w:sz="4" w:space="0"/>
                    <w:bottom w:val="single" w:color="000000" w:sz="4" w:space="0"/>
                  </w:tcBorders>
                  <w:vAlign w:val="center"/>
                </w:tcPr>
                <w:p w14:paraId="6CDCD64D">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6F163CC9">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布袋除尘</w:t>
                  </w:r>
                </w:p>
              </w:tc>
              <w:tc>
                <w:tcPr>
                  <w:tcW w:w="712" w:type="pct"/>
                  <w:tcBorders>
                    <w:top w:val="single" w:color="000000" w:sz="4" w:space="0"/>
                    <w:bottom w:val="single" w:color="000000" w:sz="4" w:space="0"/>
                  </w:tcBorders>
                  <w:vAlign w:val="center"/>
                </w:tcPr>
                <w:p w14:paraId="4326CBC1">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426371C5">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95%</w:t>
                  </w:r>
                </w:p>
              </w:tc>
            </w:tr>
            <w:tr w14:paraId="07154C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1EC23072">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喷漆+烘干工序</w:t>
                  </w:r>
                </w:p>
              </w:tc>
              <w:tc>
                <w:tcPr>
                  <w:tcW w:w="575" w:type="pct"/>
                  <w:tcBorders>
                    <w:top w:val="single" w:color="000000" w:sz="4" w:space="0"/>
                    <w:bottom w:val="single" w:color="000000" w:sz="4" w:space="0"/>
                  </w:tcBorders>
                  <w:vAlign w:val="center"/>
                </w:tcPr>
                <w:p w14:paraId="1AC94089">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颗粒物、VOCs、二甲苯</w:t>
                  </w:r>
                </w:p>
              </w:tc>
              <w:tc>
                <w:tcPr>
                  <w:tcW w:w="1900" w:type="pct"/>
                  <w:tcBorders>
                    <w:top w:val="single" w:color="000000" w:sz="4" w:space="0"/>
                    <w:bottom w:val="single" w:color="000000" w:sz="4" w:space="0"/>
                  </w:tcBorders>
                  <w:vAlign w:val="center"/>
                </w:tcPr>
                <w:p w14:paraId="35BD874F">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水喷淋+干式过滤器+活性炭吸附/脱附+催化燃烧+15m高排气筒（DA00</w:t>
                  </w: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3</w:t>
                  </w: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w:t>
                  </w:r>
                </w:p>
              </w:tc>
              <w:tc>
                <w:tcPr>
                  <w:tcW w:w="712" w:type="pct"/>
                  <w:tcBorders>
                    <w:top w:val="single" w:color="000000" w:sz="4" w:space="0"/>
                    <w:bottom w:val="single" w:color="000000" w:sz="4" w:space="0"/>
                  </w:tcBorders>
                  <w:vAlign w:val="center"/>
                </w:tcPr>
                <w:p w14:paraId="42FCBCBD">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48000</w:t>
                  </w:r>
                </w:p>
              </w:tc>
              <w:tc>
                <w:tcPr>
                  <w:tcW w:w="558" w:type="pct"/>
                  <w:tcBorders>
                    <w:top w:val="single" w:color="000000" w:sz="4" w:space="0"/>
                    <w:bottom w:val="single" w:color="000000" w:sz="4" w:space="0"/>
                    <w:right w:val="single" w:color="000000" w:sz="4" w:space="0"/>
                  </w:tcBorders>
                  <w:vAlign w:val="center"/>
                </w:tcPr>
                <w:p w14:paraId="74E16CBC">
                  <w:pPr>
                    <w:pStyle w:val="58"/>
                    <w:autoSpaceDE w:val="0"/>
                    <w:autoSpaceDN w:val="0"/>
                    <w:spacing w:before="24" w:after="24" w:line="240" w:lineRule="auto"/>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kern w:val="2"/>
                      <w:szCs w:val="21"/>
                      <w:highlight w:val="none"/>
                      <w:lang w:eastAsia="en-US"/>
                      <w14:textFill>
                        <w14:solidFill>
                          <w14:schemeClr w14:val="tx1"/>
                        </w14:solidFill>
                      </w14:textFill>
                    </w:rPr>
                    <w:t>95%，95%，94%</w:t>
                  </w:r>
                </w:p>
              </w:tc>
            </w:tr>
            <w:tr w14:paraId="046D85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51" w:hRule="atLeast"/>
              </w:trPr>
              <w:tc>
                <w:tcPr>
                  <w:tcW w:w="1252" w:type="pct"/>
                  <w:tcBorders>
                    <w:top w:val="single" w:color="000000" w:sz="4" w:space="0"/>
                    <w:left w:val="single" w:color="000000" w:sz="4" w:space="0"/>
                    <w:bottom w:val="single" w:color="000000" w:sz="4" w:space="0"/>
                  </w:tcBorders>
                  <w:vAlign w:val="center"/>
                </w:tcPr>
                <w:p w14:paraId="5723B89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激光切割下料</w:t>
                  </w:r>
                </w:p>
              </w:tc>
              <w:tc>
                <w:tcPr>
                  <w:tcW w:w="575" w:type="pct"/>
                  <w:tcBorders>
                    <w:top w:val="single" w:color="000000" w:sz="4" w:space="0"/>
                    <w:bottom w:val="single" w:color="000000" w:sz="4" w:space="0"/>
                  </w:tcBorders>
                  <w:vAlign w:val="center"/>
                </w:tcPr>
                <w:p w14:paraId="106E4624">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7185842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大颗粒沉降、车间阻隔</w:t>
                  </w:r>
                </w:p>
              </w:tc>
              <w:tc>
                <w:tcPr>
                  <w:tcW w:w="712" w:type="pct"/>
                  <w:tcBorders>
                    <w:top w:val="single" w:color="000000" w:sz="4" w:space="0"/>
                    <w:bottom w:val="single" w:color="000000" w:sz="4" w:space="0"/>
                  </w:tcBorders>
                  <w:vAlign w:val="center"/>
                </w:tcPr>
                <w:p w14:paraId="2A2BCB66">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6D26CC03">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90%，60%</w:t>
                  </w:r>
                </w:p>
              </w:tc>
            </w:tr>
            <w:tr w14:paraId="68921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1252" w:type="pct"/>
                  <w:tcBorders>
                    <w:top w:val="single" w:color="000000" w:sz="4" w:space="0"/>
                    <w:left w:val="single" w:color="000000" w:sz="4" w:space="0"/>
                    <w:bottom w:val="single" w:color="000000" w:sz="4" w:space="0"/>
                  </w:tcBorders>
                  <w:vAlign w:val="center"/>
                </w:tcPr>
                <w:p w14:paraId="78AC32B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焊接</w:t>
                  </w:r>
                </w:p>
              </w:tc>
              <w:tc>
                <w:tcPr>
                  <w:tcW w:w="575" w:type="pct"/>
                  <w:tcBorders>
                    <w:top w:val="single" w:color="000000" w:sz="4" w:space="0"/>
                    <w:bottom w:val="single" w:color="000000" w:sz="4" w:space="0"/>
                  </w:tcBorders>
                  <w:vAlign w:val="center"/>
                </w:tcPr>
                <w:p w14:paraId="0123D19C">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562D09D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移动式烟尘净化器处理</w:t>
                  </w:r>
                </w:p>
              </w:tc>
              <w:tc>
                <w:tcPr>
                  <w:tcW w:w="712" w:type="pct"/>
                  <w:tcBorders>
                    <w:top w:val="single" w:color="000000" w:sz="4" w:space="0"/>
                    <w:bottom w:val="single" w:color="000000" w:sz="4" w:space="0"/>
                  </w:tcBorders>
                  <w:vAlign w:val="center"/>
                </w:tcPr>
                <w:p w14:paraId="18DF517B">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4A45887E">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95%</w:t>
                  </w:r>
                </w:p>
              </w:tc>
            </w:tr>
            <w:tr w14:paraId="1FCD3C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2122" w:type="dxa"/>
                  <w:tcBorders>
                    <w:top w:val="single" w:color="000000" w:sz="4" w:space="0"/>
                    <w:left w:val="single" w:color="000000" w:sz="4" w:space="0"/>
                    <w:bottom w:val="single" w:color="000000" w:sz="4" w:space="0"/>
                  </w:tcBorders>
                  <w:vAlign w:val="center"/>
                </w:tcPr>
                <w:p w14:paraId="2D991B1B">
                  <w:pPr>
                    <w:pStyle w:val="58"/>
                    <w:autoSpaceDE w:val="0"/>
                    <w:autoSpaceDN w:val="0"/>
                    <w:spacing w:before="24" w:after="24" w:line="240" w:lineRule="auto"/>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填充工序堆存</w:t>
                  </w:r>
                </w:p>
              </w:tc>
              <w:tc>
                <w:tcPr>
                  <w:tcW w:w="575" w:type="pct"/>
                  <w:tcBorders>
                    <w:top w:val="single" w:color="000000" w:sz="4" w:space="0"/>
                    <w:bottom w:val="single" w:color="000000" w:sz="4" w:space="0"/>
                  </w:tcBorders>
                  <w:vAlign w:val="center"/>
                </w:tcPr>
                <w:p w14:paraId="71DB362F">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6639935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712" w:type="pct"/>
                  <w:tcBorders>
                    <w:top w:val="single" w:color="000000" w:sz="4" w:space="0"/>
                    <w:bottom w:val="single" w:color="000000" w:sz="4" w:space="0"/>
                  </w:tcBorders>
                  <w:vAlign w:val="center"/>
                </w:tcPr>
                <w:p w14:paraId="4D42CA84">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2D9F4FA8">
                  <w:pPr>
                    <w:jc w:val="cente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70</w:t>
                  </w:r>
                </w:p>
              </w:tc>
            </w:tr>
            <w:tr w14:paraId="3EAC95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2122" w:type="dxa"/>
                  <w:tcBorders>
                    <w:top w:val="single" w:color="000000" w:sz="4" w:space="0"/>
                    <w:left w:val="single" w:color="000000" w:sz="4" w:space="0"/>
                    <w:bottom w:val="single" w:color="000000" w:sz="4" w:space="0"/>
                  </w:tcBorders>
                  <w:vAlign w:val="center"/>
                </w:tcPr>
                <w:p w14:paraId="0FCCFA09">
                  <w:pPr>
                    <w:pStyle w:val="58"/>
                    <w:autoSpaceDE w:val="0"/>
                    <w:autoSpaceDN w:val="0"/>
                    <w:spacing w:before="24" w:after="24" w:line="240" w:lineRule="auto"/>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填充工序</w:t>
                  </w:r>
                  <w:r>
                    <w:rPr>
                      <w:rFonts w:hint="default" w:ascii="Times New Roman" w:hAnsi="Times New Roman" w:cs="Times New Roman"/>
                      <w:color w:val="000000" w:themeColor="text1"/>
                      <w:sz w:val="21"/>
                      <w:szCs w:val="21"/>
                      <w:highlight w:val="none"/>
                      <w:u w:val="single"/>
                      <w14:textFill>
                        <w14:solidFill>
                          <w14:schemeClr w14:val="tx1"/>
                        </w14:solidFill>
                      </w14:textFill>
                    </w:rPr>
                    <w:t>装卸过程起尘</w:t>
                  </w:r>
                </w:p>
              </w:tc>
              <w:tc>
                <w:tcPr>
                  <w:tcW w:w="575" w:type="pct"/>
                  <w:tcBorders>
                    <w:top w:val="single" w:color="000000" w:sz="4" w:space="0"/>
                    <w:bottom w:val="single" w:color="000000" w:sz="4" w:space="0"/>
                  </w:tcBorders>
                  <w:vAlign w:val="center"/>
                </w:tcPr>
                <w:p w14:paraId="0C94EA86">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187A420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712" w:type="pct"/>
                  <w:tcBorders>
                    <w:top w:val="single" w:color="000000" w:sz="4" w:space="0"/>
                    <w:bottom w:val="single" w:color="000000" w:sz="4" w:space="0"/>
                  </w:tcBorders>
                  <w:vAlign w:val="center"/>
                </w:tcPr>
                <w:p w14:paraId="3927F2F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0AD777A3">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r>
            <w:tr w14:paraId="7F8975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2122" w:type="dxa"/>
                  <w:tcBorders>
                    <w:top w:val="single" w:color="000000" w:sz="4" w:space="0"/>
                    <w:left w:val="single" w:color="000000" w:sz="4" w:space="0"/>
                    <w:bottom w:val="single" w:color="000000" w:sz="4" w:space="0"/>
                  </w:tcBorders>
                  <w:vAlign w:val="center"/>
                </w:tcPr>
                <w:p w14:paraId="2674E858">
                  <w:pPr>
                    <w:pStyle w:val="58"/>
                    <w:autoSpaceDE w:val="0"/>
                    <w:autoSpaceDN w:val="0"/>
                    <w:spacing w:before="24" w:after="24" w:line="240" w:lineRule="auto"/>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填充工序</w:t>
                  </w:r>
                  <w:r>
                    <w:rPr>
                      <w:rFonts w:hint="default" w:ascii="Times New Roman" w:hAnsi="Times New Roman" w:cs="Times New Roman"/>
                      <w:color w:val="000000" w:themeColor="text1"/>
                      <w:sz w:val="21"/>
                      <w:szCs w:val="21"/>
                      <w:highlight w:val="none"/>
                      <w:u w:val="single"/>
                      <w14:textFill>
                        <w14:solidFill>
                          <w14:schemeClr w14:val="tx1"/>
                        </w14:solidFill>
                      </w14:textFill>
                    </w:rPr>
                    <w:t>输送</w:t>
                  </w:r>
                  <w:r>
                    <w:rPr>
                      <w:rFonts w:hint="default" w:ascii="Times New Roman" w:hAnsi="Times New Roman" w:cs="Times New Roman"/>
                      <w:color w:val="000000" w:themeColor="text1"/>
                      <w:sz w:val="21"/>
                      <w:szCs w:val="21"/>
                      <w:highlight w:val="none"/>
                      <w:u w:val="singl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1"/>
                      <w:szCs w:val="21"/>
                      <w:highlight w:val="none"/>
                      <w:u w:val="single"/>
                      <w14:textFill>
                        <w14:solidFill>
                          <w14:schemeClr w14:val="tx1"/>
                        </w14:solidFill>
                      </w14:textFill>
                    </w:rPr>
                    <w:t>粉尘</w:t>
                  </w:r>
                </w:p>
              </w:tc>
              <w:tc>
                <w:tcPr>
                  <w:tcW w:w="575" w:type="pct"/>
                  <w:tcBorders>
                    <w:top w:val="single" w:color="000000" w:sz="4" w:space="0"/>
                    <w:bottom w:val="single" w:color="000000" w:sz="4" w:space="0"/>
                  </w:tcBorders>
                  <w:vAlign w:val="center"/>
                </w:tcPr>
                <w:p w14:paraId="53D9538F">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颗粒物</w:t>
                  </w:r>
                </w:p>
              </w:tc>
              <w:tc>
                <w:tcPr>
                  <w:tcW w:w="1900" w:type="pct"/>
                  <w:tcBorders>
                    <w:top w:val="single" w:color="000000" w:sz="4" w:space="0"/>
                    <w:bottom w:val="single" w:color="000000" w:sz="4" w:space="0"/>
                  </w:tcBorders>
                  <w:vAlign w:val="center"/>
                </w:tcPr>
                <w:p w14:paraId="7D2F711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洒水抑尘</w:t>
                  </w:r>
                </w:p>
              </w:tc>
              <w:tc>
                <w:tcPr>
                  <w:tcW w:w="712" w:type="pct"/>
                  <w:tcBorders>
                    <w:top w:val="single" w:color="000000" w:sz="4" w:space="0"/>
                    <w:bottom w:val="single" w:color="000000" w:sz="4" w:space="0"/>
                  </w:tcBorders>
                  <w:vAlign w:val="center"/>
                </w:tcPr>
                <w:p w14:paraId="26209D3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c>
                <w:tcPr>
                  <w:tcW w:w="558" w:type="pct"/>
                  <w:tcBorders>
                    <w:top w:val="single" w:color="000000" w:sz="4" w:space="0"/>
                    <w:bottom w:val="single" w:color="000000" w:sz="4" w:space="0"/>
                    <w:right w:val="single" w:color="000000" w:sz="4" w:space="0"/>
                  </w:tcBorders>
                  <w:vAlign w:val="center"/>
                </w:tcPr>
                <w:p w14:paraId="67221BB8">
                  <w:pPr>
                    <w:jc w:val="cente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en-US"/>
                      <w14:textFill>
                        <w14:solidFill>
                          <w14:schemeClr w14:val="tx1"/>
                        </w14:solidFill>
                      </w14:textFill>
                    </w:rPr>
                    <w:t>/</w:t>
                  </w:r>
                </w:p>
              </w:tc>
            </w:tr>
          </w:tbl>
          <w:p w14:paraId="473F68C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本项目废气处理系统图见下图。</w:t>
            </w:r>
          </w:p>
          <w:p w14:paraId="66A42D5A">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object>
                <v:shape id="_x0000_i1031" o:spt="75" type="#_x0000_t75" style="height:375.4pt;width:418.45pt;" o:ole="t" filled="f" o:preferrelative="t" stroked="t" coordsize="21600,21600">
                  <v:path/>
                  <v:fill on="f" focussize="0,0"/>
                  <v:stroke color="#000000"/>
                  <v:imagedata r:id="rId27" o:title=""/>
                  <o:lock v:ext="edit" aspectratio="f"/>
                  <w10:wrap type="none"/>
                  <w10:anchorlock/>
                </v:shape>
                <o:OLEObject Type="Embed" ProgID="Visio.Drawing.11" ShapeID="_x0000_i1031" DrawAspect="Content" ObjectID="_1468075731" r:id="rId26">
                  <o:LockedField>false</o:LockedField>
                </o:OLEObject>
              </w:object>
            </w:r>
          </w:p>
          <w:p w14:paraId="436CCE54">
            <w:pPr>
              <w:ind w:firstLine="48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szCs w:val="21"/>
                <w:highlight w:val="none"/>
                <w14:textFill>
                  <w14:solidFill>
                    <w14:schemeClr w14:val="tx1"/>
                  </w14:solidFill>
                </w14:textFill>
              </w:rPr>
              <w:t>图4-1  项目废气处理系统图</w:t>
            </w:r>
          </w:p>
          <w:p w14:paraId="4034574A">
            <w:pPr>
              <w:spacing w:line="360" w:lineRule="auto"/>
              <w:ind w:firstLine="480" w:firstLineChars="200"/>
              <w:rPr>
                <w:rFonts w:hint="default" w:ascii="Times New Roman" w:hAnsi="Times New Roman" w:cs="Times New Roman"/>
                <w:color w:val="000000" w:themeColor="text1"/>
                <w:sz w:val="24"/>
                <w:highlight w:val="none"/>
                <w:lang w:bidi="zh-CN"/>
                <w14:textFill>
                  <w14:solidFill>
                    <w14:schemeClr w14:val="tx1"/>
                  </w14:solidFill>
                </w14:textFill>
              </w:rPr>
            </w:pPr>
            <w:r>
              <w:rPr>
                <w:rFonts w:hint="default" w:ascii="Times New Roman" w:hAnsi="Times New Roman" w:cs="Times New Roman"/>
                <w:color w:val="000000" w:themeColor="text1"/>
                <w:sz w:val="24"/>
                <w:highlight w:val="none"/>
                <w:lang w:bidi="zh-CN"/>
                <w14:textFill>
                  <w14:solidFill>
                    <w14:schemeClr w14:val="tx1"/>
                  </w14:solidFill>
                </w14:textFill>
              </w:rPr>
              <w:t>（2）喷漆废气</w:t>
            </w:r>
          </w:p>
          <w:p w14:paraId="3305858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在喷漆工序产污环节及污染因子有针对性的设置了污染防治措施，主要分为：喷漆漆雾产生的颗粒物采用湿式除尘方式水喷淋，并加装干式过滤；挥发性有机废气采用活性炭吸附/脱附+催化燃烧+15m高排气筒，本次评价将分别进行措施合理性的可行性。</w:t>
            </w:r>
          </w:p>
          <w:p w14:paraId="75DF749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bidi="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漆雾处理措施可行性</w:t>
            </w:r>
          </w:p>
          <w:p w14:paraId="18898135">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本项目建成后，喷漆工序产生的废气经水喷淋去除漆雾，之后通过</w:t>
            </w:r>
            <w:r>
              <w:rPr>
                <w:rFonts w:hint="default" w:ascii="Times New Roman" w:hAnsi="Times New Roman" w:cs="Times New Roman"/>
                <w:color w:val="000000" w:themeColor="text1"/>
                <w:sz w:val="24"/>
                <w:highlight w:val="none"/>
                <w14:textFill>
                  <w14:solidFill>
                    <w14:schemeClr w14:val="tx1"/>
                  </w14:solidFill>
                </w14:textFill>
              </w:rPr>
              <w:t>干式过滤</w:t>
            </w:r>
            <w:r>
              <w:rPr>
                <w:rFonts w:hint="default" w:ascii="Times New Roman" w:hAnsi="Times New Roman" w:cs="Times New Roman"/>
                <w:color w:val="000000" w:themeColor="text1"/>
                <w:kern w:val="0"/>
                <w:sz w:val="24"/>
                <w:highlight w:val="none"/>
                <w:lang w:bidi="ar"/>
                <w14:textFill>
                  <w14:solidFill>
                    <w14:schemeClr w14:val="tx1"/>
                  </w14:solidFill>
                </w14:textFill>
              </w:rPr>
              <w:t>进入</w:t>
            </w:r>
            <w:r>
              <w:rPr>
                <w:rFonts w:hint="default" w:ascii="Times New Roman" w:hAnsi="Times New Roman" w:cs="Times New Roman"/>
                <w:color w:val="000000" w:themeColor="text1"/>
                <w:sz w:val="24"/>
                <w:highlight w:val="none"/>
                <w14:textFill>
                  <w14:solidFill>
                    <w14:schemeClr w14:val="tx1"/>
                  </w14:solidFill>
                </w14:textFill>
              </w:rPr>
              <w:t>活性炭吸附/脱附+催化燃烧</w:t>
            </w: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处理后，经一根15m 排气筒达标排放。 </w:t>
            </w:r>
          </w:p>
          <w:p w14:paraId="6E2E7D88">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目前国内除漆雾方案一般有七种选择：文氏管式、水旋式、水帘式、水喷淋、干式过滤（纸盒除漆雾）、过滤棉吸附和稀释排放。以上七种除漆雾方案，综合对比分析结果见表4-1</w:t>
            </w:r>
            <w:r>
              <w:rPr>
                <w:rFonts w:hint="default" w:ascii="Times New Roman" w:hAnsi="Times New Roman" w:cs="Times New Roman"/>
                <w:color w:val="000000" w:themeColor="text1"/>
                <w:kern w:val="0"/>
                <w:sz w:val="24"/>
                <w:highlight w:val="none"/>
                <w:lang w:bidi="ar"/>
                <w14:textFill>
                  <w14:solidFill>
                    <w14:schemeClr w14:val="tx1"/>
                  </w14:solidFill>
                </w14:textFill>
              </w:rPr>
              <w:t>8</w:t>
            </w:r>
            <w:r>
              <w:rPr>
                <w:rFonts w:hint="default" w:ascii="Times New Roman" w:hAnsi="Times New Roman" w:cs="Times New Roman"/>
                <w:color w:val="000000" w:themeColor="text1"/>
                <w:kern w:val="0"/>
                <w:sz w:val="24"/>
                <w:highlight w:val="none"/>
                <w:lang w:bidi="ar"/>
                <w14:textFill>
                  <w14:solidFill>
                    <w14:schemeClr w14:val="tx1"/>
                  </w14:solidFill>
                </w14:textFill>
              </w:rPr>
              <w:t>。</w:t>
            </w:r>
          </w:p>
          <w:p w14:paraId="0892BBDA">
            <w:pPr>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表4-1</w:t>
            </w:r>
            <w:r>
              <w:rPr>
                <w:rFonts w:hint="default" w:ascii="Times New Roman" w:hAnsi="Times New Roman" w:cs="Times New Roman"/>
                <w:b/>
                <w:bCs/>
                <w:color w:val="000000" w:themeColor="text1"/>
                <w:highlight w:val="none"/>
                <w14:textFill>
                  <w14:solidFill>
                    <w14:schemeClr w14:val="tx1"/>
                  </w14:solidFill>
                </w14:textFill>
              </w:rPr>
              <w:t>8</w:t>
            </w:r>
            <w:r>
              <w:rPr>
                <w:rFonts w:hint="default" w:ascii="Times New Roman" w:hAnsi="Times New Roman" w:cs="Times New Roman"/>
                <w:b/>
                <w:bCs/>
                <w:color w:val="000000" w:themeColor="text1"/>
                <w:highlight w:val="none"/>
                <w14:textFill>
                  <w14:solidFill>
                    <w14:schemeClr w14:val="tx1"/>
                  </w14:solidFill>
                </w14:textFill>
              </w:rPr>
              <w:t xml:space="preserve">  漆雾净化技术方案对比表</w:t>
            </w:r>
          </w:p>
          <w:tbl>
            <w:tblPr>
              <w:tblStyle w:val="3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1406"/>
              <w:gridCol w:w="821"/>
              <w:gridCol w:w="899"/>
              <w:gridCol w:w="928"/>
              <w:gridCol w:w="965"/>
              <w:gridCol w:w="1391"/>
              <w:gridCol w:w="1622"/>
            </w:tblGrid>
            <w:tr w14:paraId="50CFD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4" w:type="pct"/>
                  <w:gridSpan w:val="2"/>
                  <w:vAlign w:val="center"/>
                </w:tcPr>
                <w:p w14:paraId="003D4DFA">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w:t>
                  </w:r>
                </w:p>
              </w:tc>
              <w:tc>
                <w:tcPr>
                  <w:tcW w:w="485" w:type="pct"/>
                  <w:vAlign w:val="center"/>
                </w:tcPr>
                <w:p w14:paraId="4AE510A3">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投资</w:t>
                  </w:r>
                </w:p>
              </w:tc>
              <w:tc>
                <w:tcPr>
                  <w:tcW w:w="531" w:type="pct"/>
                  <w:vAlign w:val="center"/>
                </w:tcPr>
                <w:p w14:paraId="50BC2C7C">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占地</w:t>
                  </w:r>
                </w:p>
              </w:tc>
              <w:tc>
                <w:tcPr>
                  <w:tcW w:w="548" w:type="pct"/>
                  <w:vAlign w:val="center"/>
                </w:tcPr>
                <w:p w14:paraId="5E036F28">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维修量</w:t>
                  </w:r>
                </w:p>
              </w:tc>
              <w:tc>
                <w:tcPr>
                  <w:tcW w:w="570" w:type="pct"/>
                  <w:vAlign w:val="center"/>
                </w:tcPr>
                <w:p w14:paraId="44CC30C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给排水</w:t>
                  </w:r>
                </w:p>
              </w:tc>
              <w:tc>
                <w:tcPr>
                  <w:tcW w:w="822" w:type="pct"/>
                  <w:vAlign w:val="center"/>
                </w:tcPr>
                <w:p w14:paraId="6877A3DF">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年运行费用</w:t>
                  </w:r>
                </w:p>
              </w:tc>
              <w:tc>
                <w:tcPr>
                  <w:tcW w:w="957" w:type="pct"/>
                  <w:vAlign w:val="center"/>
                </w:tcPr>
                <w:p w14:paraId="50D6859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漆雾去除效率</w:t>
                  </w:r>
                </w:p>
              </w:tc>
            </w:tr>
            <w:tr w14:paraId="6A86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511382D3">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湿式</w:t>
                  </w:r>
                </w:p>
              </w:tc>
              <w:tc>
                <w:tcPr>
                  <w:tcW w:w="830" w:type="pct"/>
                  <w:vAlign w:val="center"/>
                </w:tcPr>
                <w:p w14:paraId="748EB13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文氏管式</w:t>
                  </w:r>
                </w:p>
              </w:tc>
              <w:tc>
                <w:tcPr>
                  <w:tcW w:w="485" w:type="pct"/>
                  <w:vAlign w:val="center"/>
                </w:tcPr>
                <w:p w14:paraId="21317FA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531" w:type="pct"/>
                  <w:vAlign w:val="center"/>
                </w:tcPr>
                <w:p w14:paraId="02FAAFB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548" w:type="pct"/>
                  <w:vAlign w:val="center"/>
                </w:tcPr>
                <w:p w14:paraId="6634B47C">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0EFCD630">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822" w:type="pct"/>
                  <w:vAlign w:val="center"/>
                </w:tcPr>
                <w:p w14:paraId="14B1B17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7FF16396">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r w14:paraId="0D092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439F019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p>
              </w:tc>
              <w:tc>
                <w:tcPr>
                  <w:tcW w:w="830" w:type="pct"/>
                  <w:vAlign w:val="center"/>
                </w:tcPr>
                <w:p w14:paraId="460C8B31">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水旋式</w:t>
                  </w:r>
                </w:p>
              </w:tc>
              <w:tc>
                <w:tcPr>
                  <w:tcW w:w="485" w:type="pct"/>
                  <w:vAlign w:val="center"/>
                </w:tcPr>
                <w:p w14:paraId="6A44BD60">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531" w:type="pct"/>
                  <w:vAlign w:val="center"/>
                </w:tcPr>
                <w:p w14:paraId="6A21FF43">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548" w:type="pct"/>
                  <w:vAlign w:val="center"/>
                </w:tcPr>
                <w:p w14:paraId="354AA30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0B5E114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822" w:type="pct"/>
                  <w:vAlign w:val="center"/>
                </w:tcPr>
                <w:p w14:paraId="32C98552">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780C5AED">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w:t>
                  </w:r>
                </w:p>
              </w:tc>
            </w:tr>
            <w:tr w14:paraId="559C9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327E1BDD">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p>
              </w:tc>
              <w:tc>
                <w:tcPr>
                  <w:tcW w:w="830" w:type="pct"/>
                  <w:vAlign w:val="center"/>
                </w:tcPr>
                <w:p w14:paraId="2AFFB511">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水帘式</w:t>
                  </w:r>
                </w:p>
              </w:tc>
              <w:tc>
                <w:tcPr>
                  <w:tcW w:w="485" w:type="pct"/>
                  <w:vAlign w:val="center"/>
                </w:tcPr>
                <w:p w14:paraId="2ED2277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531" w:type="pct"/>
                  <w:vAlign w:val="center"/>
                </w:tcPr>
                <w:p w14:paraId="4F40D559">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w:t>
                  </w:r>
                </w:p>
              </w:tc>
              <w:tc>
                <w:tcPr>
                  <w:tcW w:w="548" w:type="pct"/>
                  <w:vAlign w:val="center"/>
                </w:tcPr>
                <w:p w14:paraId="05459E5D">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5AD8FFE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822" w:type="pct"/>
                  <w:vAlign w:val="center"/>
                </w:tcPr>
                <w:p w14:paraId="51DDD12D">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45AE952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r>
            <w:tr w14:paraId="1A3E9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7395AA4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p>
              </w:tc>
              <w:tc>
                <w:tcPr>
                  <w:tcW w:w="830" w:type="pct"/>
                  <w:vAlign w:val="center"/>
                </w:tcPr>
                <w:p w14:paraId="4FB210BA">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水喷淋</w:t>
                  </w:r>
                </w:p>
              </w:tc>
              <w:tc>
                <w:tcPr>
                  <w:tcW w:w="485" w:type="pct"/>
                  <w:vAlign w:val="center"/>
                </w:tcPr>
                <w:p w14:paraId="7D388C8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较少</w:t>
                  </w:r>
                </w:p>
              </w:tc>
              <w:tc>
                <w:tcPr>
                  <w:tcW w:w="531" w:type="pct"/>
                  <w:vAlign w:val="center"/>
                </w:tcPr>
                <w:p w14:paraId="7D750D62">
                  <w:pPr>
                    <w:pStyle w:val="95"/>
                    <w:tabs>
                      <w:tab w:val="left" w:pos="303"/>
                    </w:tabs>
                    <w:spacing w:after="0"/>
                    <w:ind w:left="62"/>
                    <w:jc w:val="left"/>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548" w:type="pct"/>
                  <w:vAlign w:val="center"/>
                </w:tcPr>
                <w:p w14:paraId="0E8F54BA">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2BB21B3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822" w:type="pct"/>
                  <w:vAlign w:val="center"/>
                </w:tcPr>
                <w:p w14:paraId="6ACBF1C9">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2D07AB2D">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≥85%</w:t>
                  </w:r>
                </w:p>
              </w:tc>
            </w:tr>
            <w:tr w14:paraId="6C683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restart"/>
                  <w:vAlign w:val="center"/>
                </w:tcPr>
                <w:p w14:paraId="6EB0F00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干式</w:t>
                  </w:r>
                </w:p>
              </w:tc>
              <w:tc>
                <w:tcPr>
                  <w:tcW w:w="830" w:type="pct"/>
                  <w:vAlign w:val="center"/>
                </w:tcPr>
                <w:p w14:paraId="14F527C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干式过滤</w:t>
                  </w:r>
                </w:p>
                <w:p w14:paraId="1C036159">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（纸盒）</w:t>
                  </w:r>
                </w:p>
              </w:tc>
              <w:tc>
                <w:tcPr>
                  <w:tcW w:w="485" w:type="pct"/>
                  <w:vAlign w:val="center"/>
                </w:tcPr>
                <w:p w14:paraId="48BA5053">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531" w:type="pct"/>
                  <w:vAlign w:val="center"/>
                </w:tcPr>
                <w:p w14:paraId="2EA85473">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较大</w:t>
                  </w:r>
                </w:p>
              </w:tc>
              <w:tc>
                <w:tcPr>
                  <w:tcW w:w="548" w:type="pct"/>
                  <w:vAlign w:val="center"/>
                </w:tcPr>
                <w:p w14:paraId="0ABC808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7C9B1F6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c>
                <w:tcPr>
                  <w:tcW w:w="822" w:type="pct"/>
                  <w:vAlign w:val="center"/>
                </w:tcPr>
                <w:p w14:paraId="66103E8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183CB7E9">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≥95%</w:t>
                  </w:r>
                </w:p>
              </w:tc>
            </w:tr>
            <w:tr w14:paraId="2DB9A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4" w:type="pct"/>
                  <w:vMerge w:val="continue"/>
                  <w:vAlign w:val="center"/>
                </w:tcPr>
                <w:p w14:paraId="74E57A66">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p>
              </w:tc>
              <w:tc>
                <w:tcPr>
                  <w:tcW w:w="830" w:type="pct"/>
                  <w:vAlign w:val="center"/>
                </w:tcPr>
                <w:p w14:paraId="2295956A">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过滤棉吸附</w:t>
                  </w:r>
                </w:p>
              </w:tc>
              <w:tc>
                <w:tcPr>
                  <w:tcW w:w="485" w:type="pct"/>
                  <w:vAlign w:val="center"/>
                </w:tcPr>
                <w:p w14:paraId="5F91CECF">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较少</w:t>
                  </w:r>
                </w:p>
              </w:tc>
              <w:tc>
                <w:tcPr>
                  <w:tcW w:w="531" w:type="pct"/>
                  <w:vAlign w:val="center"/>
                </w:tcPr>
                <w:p w14:paraId="77B7CA17">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较小</w:t>
                  </w:r>
                </w:p>
              </w:tc>
              <w:tc>
                <w:tcPr>
                  <w:tcW w:w="548" w:type="pct"/>
                  <w:vAlign w:val="center"/>
                </w:tcPr>
                <w:p w14:paraId="60D0CDF6">
                  <w:pPr>
                    <w:pStyle w:val="95"/>
                    <w:tabs>
                      <w:tab w:val="left" w:pos="409"/>
                    </w:tabs>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多</w:t>
                  </w:r>
                </w:p>
              </w:tc>
              <w:tc>
                <w:tcPr>
                  <w:tcW w:w="570" w:type="pct"/>
                  <w:vAlign w:val="center"/>
                </w:tcPr>
                <w:p w14:paraId="457A4F1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c>
                <w:tcPr>
                  <w:tcW w:w="822" w:type="pct"/>
                  <w:vAlign w:val="center"/>
                </w:tcPr>
                <w:p w14:paraId="00387DA6">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较高</w:t>
                  </w:r>
                </w:p>
              </w:tc>
              <w:tc>
                <w:tcPr>
                  <w:tcW w:w="957" w:type="pct"/>
                  <w:vAlign w:val="center"/>
                </w:tcPr>
                <w:p w14:paraId="1238F272">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≥80%</w:t>
                  </w:r>
                </w:p>
              </w:tc>
            </w:tr>
            <w:tr w14:paraId="07EA1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84" w:type="pct"/>
                  <w:gridSpan w:val="2"/>
                  <w:vAlign w:val="center"/>
                </w:tcPr>
                <w:p w14:paraId="4675A75C">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稀释排放</w:t>
                  </w:r>
                </w:p>
              </w:tc>
              <w:tc>
                <w:tcPr>
                  <w:tcW w:w="485" w:type="pct"/>
                  <w:vAlign w:val="center"/>
                </w:tcPr>
                <w:p w14:paraId="2AA25EBF">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31" w:type="pct"/>
                  <w:vAlign w:val="center"/>
                </w:tcPr>
                <w:p w14:paraId="32199590">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小</w:t>
                  </w:r>
                </w:p>
              </w:tc>
              <w:tc>
                <w:tcPr>
                  <w:tcW w:w="548" w:type="pct"/>
                  <w:vAlign w:val="center"/>
                </w:tcPr>
                <w:p w14:paraId="1A8B766E">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570" w:type="pct"/>
                  <w:vAlign w:val="center"/>
                </w:tcPr>
                <w:p w14:paraId="734B078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w:t>
                  </w:r>
                </w:p>
              </w:tc>
              <w:tc>
                <w:tcPr>
                  <w:tcW w:w="822" w:type="pct"/>
                  <w:vAlign w:val="center"/>
                </w:tcPr>
                <w:p w14:paraId="206C3D94">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少</w:t>
                  </w:r>
                </w:p>
              </w:tc>
              <w:tc>
                <w:tcPr>
                  <w:tcW w:w="957" w:type="pct"/>
                  <w:vAlign w:val="center"/>
                </w:tcPr>
                <w:p w14:paraId="73831C85">
                  <w:pPr>
                    <w:pStyle w:val="95"/>
                    <w:spacing w:after="0"/>
                    <w:ind w:left="62"/>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r>
          </w:tbl>
          <w:p w14:paraId="3BA64B07">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由上表可以看出，水喷淋除漆雾方案虽一次性占地较大、产生废水，但除漆雾水平时均循环使用，每两年才更换一次，废水作为危废由有资质单位托运处置，同时水喷淋前期投资少，且运行过程中维修量及运行费用少，除漆雾效率相对较，因此本项目采用水喷淋去除漆雾可行。</w:t>
            </w:r>
          </w:p>
          <w:p w14:paraId="75991006">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水喷淋塔内填料层作为气液两相间接触构件的传质设备，填料塔底部装有填料支承板，填料以乱方式放置在支承板上。气体从塔底送入，经气体分布装置分布后，与液体呈逆流连续通过填料层的空隙，在填料表面上，气液两相密切接触进行传质，待处理气体经传质作用进入循环液体中与循环液体进行反应，截留漆雾，使气体得到净化；同时由于水喷淋塔顶部设置了除雾器，气体净化的同时得到初步干燥；再通过干式过滤器后基本去除气体全部水份，使活性炭的使用寿命与使用效果得到更好的发挥。</w:t>
            </w:r>
          </w:p>
          <w:p w14:paraId="0C08B723">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根据《排污许可证申请与核发技术规范 铁路、船舶、航空航天和其他运输设备制造业》（HJ 1124-2020）表 C.4 其他运输设备制造排污单位废气污染防治推荐可行技术中推荐的可行性技术：喷涂室颗粒物推荐技术包括文丘里/水旋/水帘、石灰粉吸附、纸盒过滤、化学纤维过滤，因此本项目漆雾治理措施可行。</w:t>
            </w:r>
          </w:p>
          <w:p w14:paraId="45665E0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2）挥发性有机废气</w:t>
            </w:r>
            <w:r>
              <w:rPr>
                <w:rFonts w:hint="default" w:ascii="Times New Roman" w:hAnsi="Times New Roman" w:cs="Times New Roman"/>
                <w:color w:val="000000" w:themeColor="text1"/>
                <w:sz w:val="24"/>
                <w:highlight w:val="none"/>
                <w14:textFill>
                  <w14:solidFill>
                    <w14:schemeClr w14:val="tx1"/>
                  </w14:solidFill>
                </w14:textFill>
              </w:rPr>
              <w:t>处理措施可行性</w:t>
            </w:r>
          </w:p>
          <w:p w14:paraId="03331C9A">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废气主要为挥发性有机废气，目前国内外处理有机废气的方法主要有氧化型、物理吸收/吸附型，氧化型：以热力燃烧法；物理吸收/吸附型：主要有喷淋洗涤吸收法和活性炭吸附法等，另外还有冷凝法等，以上方法优缺点见表4-1</w:t>
            </w:r>
            <w:r>
              <w:rPr>
                <w:rFonts w:hint="default" w:ascii="Times New Roman" w:hAnsi="Times New Roman" w:cs="Times New Roman"/>
                <w:color w:val="000000" w:themeColor="text1"/>
                <w:kern w:val="0"/>
                <w:sz w:val="24"/>
                <w:highlight w:val="none"/>
                <w:lang w:bidi="ar"/>
                <w14:textFill>
                  <w14:solidFill>
                    <w14:schemeClr w14:val="tx1"/>
                  </w14:solidFill>
                </w14:textFill>
              </w:rPr>
              <w:t>9。</w:t>
            </w:r>
          </w:p>
          <w:p w14:paraId="5ADCE76E">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bidi="ar"/>
                <w14:textFill>
                  <w14:solidFill>
                    <w14:schemeClr w14:val="tx1"/>
                  </w14:solidFill>
                </w14:textFill>
              </w:rPr>
              <w:t>表 4-1</w:t>
            </w:r>
            <w:r>
              <w:rPr>
                <w:rFonts w:hint="default" w:ascii="Times New Roman" w:hAnsi="Times New Roman" w:cs="Times New Roman"/>
                <w:b/>
                <w:bCs/>
                <w:color w:val="000000" w:themeColor="text1"/>
                <w:kern w:val="0"/>
                <w:szCs w:val="21"/>
                <w:highlight w:val="none"/>
                <w:lang w:bidi="ar"/>
                <w14:textFill>
                  <w14:solidFill>
                    <w14:schemeClr w14:val="tx1"/>
                  </w14:solidFill>
                </w14:textFill>
              </w:rPr>
              <w:t>9</w:t>
            </w:r>
            <w:r>
              <w:rPr>
                <w:rFonts w:hint="default" w:ascii="Times New Roman" w:hAnsi="Times New Roman" w:cs="Times New Roman"/>
                <w:b/>
                <w:bCs/>
                <w:color w:val="000000" w:themeColor="text1"/>
                <w:kern w:val="0"/>
                <w:szCs w:val="21"/>
                <w:highlight w:val="none"/>
                <w:lang w:bidi="ar"/>
                <w14:textFill>
                  <w14:solidFill>
                    <w14:schemeClr w14:val="tx1"/>
                  </w14:solidFill>
                </w14:textFill>
              </w:rPr>
              <w:t xml:space="preserve">  有机废气治理工艺的综合比较表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9"/>
              <w:gridCol w:w="733"/>
              <w:gridCol w:w="3320"/>
              <w:gridCol w:w="1535"/>
              <w:gridCol w:w="2435"/>
            </w:tblGrid>
            <w:tr w14:paraId="52AEF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32" w:type="dxa"/>
                  <w:gridSpan w:val="2"/>
                  <w:vAlign w:val="center"/>
                </w:tcPr>
                <w:p w14:paraId="67A75C99">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处理方法</w:t>
                  </w:r>
                </w:p>
              </w:tc>
              <w:tc>
                <w:tcPr>
                  <w:tcW w:w="3320" w:type="dxa"/>
                  <w:vAlign w:val="center"/>
                </w:tcPr>
                <w:p w14:paraId="1A98512C">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原理</w:t>
                  </w:r>
                </w:p>
              </w:tc>
              <w:tc>
                <w:tcPr>
                  <w:tcW w:w="1535" w:type="dxa"/>
                  <w:vAlign w:val="center"/>
                </w:tcPr>
                <w:p w14:paraId="606EB490">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优点</w:t>
                  </w:r>
                </w:p>
              </w:tc>
              <w:tc>
                <w:tcPr>
                  <w:tcW w:w="2435" w:type="dxa"/>
                  <w:vAlign w:val="center"/>
                </w:tcPr>
                <w:p w14:paraId="1211DF44">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缺点</w:t>
                  </w:r>
                </w:p>
              </w:tc>
            </w:tr>
            <w:tr w14:paraId="4FC29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32" w:type="dxa"/>
                  <w:gridSpan w:val="2"/>
                  <w:vAlign w:val="center"/>
                </w:tcPr>
                <w:p w14:paraId="1E34BB5D">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光催化氧化法</w:t>
                  </w:r>
                </w:p>
              </w:tc>
              <w:tc>
                <w:tcPr>
                  <w:tcW w:w="3320" w:type="dxa"/>
                  <w:vAlign w:val="center"/>
                </w:tcPr>
                <w:p w14:paraId="6804A1D8">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光催化材料经紫外线照射后产生大量电子—空穴对，这些电子空穴对具有极强的氧化性，可以氧化废气中的大部分有机废气，从而生成没有污染性和臭味的 CO</w:t>
                  </w:r>
                  <w:r>
                    <w:rPr>
                      <w:rFonts w:hint="default" w:ascii="Times New Roman" w:hAnsi="Times New Roman" w:cs="Times New Roman" w:eastAsiaTheme="minorEastAsia"/>
                      <w:color w:val="000000" w:themeColor="text1"/>
                      <w:szCs w:val="21"/>
                      <w:highlight w:val="none"/>
                      <w:vertAlign w:val="subscript"/>
                      <w14:textFill>
                        <w14:solidFill>
                          <w14:schemeClr w14:val="tx1"/>
                        </w14:solidFill>
                      </w14:textFill>
                    </w:rPr>
                    <w:t>2</w:t>
                  </w:r>
                  <w:r>
                    <w:rPr>
                      <w:rFonts w:hint="default" w:ascii="Times New Roman" w:hAnsi="Times New Roman" w:cs="Times New Roman" w:eastAsiaTheme="minorEastAsia"/>
                      <w:color w:val="000000" w:themeColor="text1"/>
                      <w:szCs w:val="21"/>
                      <w:highlight w:val="none"/>
                      <w14:textFill>
                        <w14:solidFill>
                          <w14:schemeClr w14:val="tx1"/>
                        </w14:solidFill>
                      </w14:textFill>
                    </w:rPr>
                    <w:t>和水</w:t>
                  </w:r>
                </w:p>
              </w:tc>
              <w:tc>
                <w:tcPr>
                  <w:tcW w:w="1535" w:type="dxa"/>
                  <w:vAlign w:val="center"/>
                </w:tcPr>
                <w:p w14:paraId="14C1CB1D">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占地面积小；投资成本低；运行费用低；处理有机废气的效果好。</w:t>
                  </w:r>
                </w:p>
              </w:tc>
              <w:tc>
                <w:tcPr>
                  <w:tcW w:w="2435" w:type="dxa"/>
                  <w:vAlign w:val="center"/>
                </w:tcPr>
                <w:p w14:paraId="6999E3BC">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适用于中低浓度、温度不高的工况</w:t>
                  </w:r>
                </w:p>
              </w:tc>
            </w:tr>
            <w:tr w14:paraId="52A5D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32" w:type="dxa"/>
                  <w:gridSpan w:val="2"/>
                  <w:vAlign w:val="center"/>
                </w:tcPr>
                <w:p w14:paraId="7777A925">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冷凝回收法</w:t>
                  </w:r>
                </w:p>
              </w:tc>
              <w:tc>
                <w:tcPr>
                  <w:tcW w:w="3320" w:type="dxa"/>
                  <w:vAlign w:val="center"/>
                </w:tcPr>
                <w:p w14:paraId="44A0ED92">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把有机废气直接导入冷凝器，将废气冷却或加压到有机气体的露点温度以下，使其液化,而从废气中分离出来</w:t>
                  </w:r>
                </w:p>
              </w:tc>
              <w:tc>
                <w:tcPr>
                  <w:tcW w:w="1535" w:type="dxa"/>
                  <w:vAlign w:val="center"/>
                </w:tcPr>
                <w:p w14:paraId="6CC6E110">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可回收有价值的有机物</w:t>
                  </w:r>
                </w:p>
              </w:tc>
              <w:tc>
                <w:tcPr>
                  <w:tcW w:w="2435" w:type="dxa"/>
                  <w:vAlign w:val="center"/>
                </w:tcPr>
                <w:p w14:paraId="24B519A7">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只适用于有机废气浓度高、温度低、风量小的工况；需要附属冷冻设备</w:t>
                  </w:r>
                </w:p>
              </w:tc>
            </w:tr>
            <w:tr w14:paraId="7DEDC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32" w:type="dxa"/>
                  <w:gridSpan w:val="2"/>
                  <w:vAlign w:val="center"/>
                </w:tcPr>
                <w:p w14:paraId="3E870A6C">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直接吸附法</w:t>
                  </w:r>
                </w:p>
                <w:p w14:paraId="5DA7B51D">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3320" w:type="dxa"/>
                  <w:vAlign w:val="center"/>
                </w:tcPr>
                <w:p w14:paraId="05DBF840">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活性炭吸附</w:t>
                  </w:r>
                </w:p>
                <w:p w14:paraId="62CF5324">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1535" w:type="dxa"/>
                  <w:vAlign w:val="center"/>
                </w:tcPr>
                <w:p w14:paraId="46B56624">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较常见；净化率高；设备简单，投资成本低。</w:t>
                  </w:r>
                </w:p>
                <w:p w14:paraId="381C59A8">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435" w:type="dxa"/>
                  <w:vAlign w:val="center"/>
                </w:tcPr>
                <w:p w14:paraId="32A84F0F">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吸附容量有限，需要经常更换或再生；运行成本较高；对苯系物具有良好的吸附性能，对烃类吸附性较差；不适合于湿度大的环境；</w:t>
                  </w:r>
                </w:p>
              </w:tc>
            </w:tr>
            <w:tr w14:paraId="13B6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99" w:type="dxa"/>
                  <w:vMerge w:val="restart"/>
                  <w:vAlign w:val="center"/>
                </w:tcPr>
                <w:p w14:paraId="253096AA">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热力燃烧法</w:t>
                  </w:r>
                </w:p>
              </w:tc>
              <w:tc>
                <w:tcPr>
                  <w:tcW w:w="733" w:type="dxa"/>
                  <w:vAlign w:val="center"/>
                </w:tcPr>
                <w:p w14:paraId="5410AC6E">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高温燃烧</w:t>
                  </w:r>
                </w:p>
              </w:tc>
              <w:tc>
                <w:tcPr>
                  <w:tcW w:w="3320" w:type="dxa"/>
                  <w:vAlign w:val="center"/>
                </w:tcPr>
                <w:p w14:paraId="1EB3EC67">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高温燃烧，有害气体本身是不可燃的，是净化对象而不是作为燃料，因此燃烧处理时需要辅助燃料，其处理温度一般在 600 ~800 °C。</w:t>
                  </w:r>
                </w:p>
              </w:tc>
              <w:tc>
                <w:tcPr>
                  <w:tcW w:w="1535" w:type="dxa"/>
                  <w:vAlign w:val="center"/>
                </w:tcPr>
                <w:p w14:paraId="7780E93B">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净化效率高，设备构造简单，维护容易，投资成本低。</w:t>
                  </w:r>
                </w:p>
              </w:tc>
              <w:tc>
                <w:tcPr>
                  <w:tcW w:w="2435" w:type="dxa"/>
                  <w:vAlign w:val="center"/>
                </w:tcPr>
                <w:p w14:paraId="27807705">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适用于较高浓度的废气，但存在运行费用高，经济效益小</w:t>
                  </w:r>
                </w:p>
                <w:p w14:paraId="0662B497">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1D765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99" w:type="dxa"/>
                  <w:vMerge w:val="continue"/>
                  <w:vAlign w:val="center"/>
                </w:tcPr>
                <w:p w14:paraId="640C8393">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733" w:type="dxa"/>
                  <w:vAlign w:val="center"/>
                </w:tcPr>
                <w:p w14:paraId="4F208C19">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催化燃烧</w:t>
                  </w:r>
                </w:p>
              </w:tc>
              <w:tc>
                <w:tcPr>
                  <w:tcW w:w="3320" w:type="dxa"/>
                  <w:vAlign w:val="center"/>
                </w:tcPr>
                <w:p w14:paraId="2EAB71ED">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催化燃烧法是用催化剂使有害气体中的可燃组分在较低的温度下氧化分解的净化方法，转化成无害无臭的二氧化碳和水，催化温度一般在 300~ 450°C</w:t>
                  </w:r>
                </w:p>
              </w:tc>
              <w:tc>
                <w:tcPr>
                  <w:tcW w:w="1535" w:type="dxa"/>
                  <w:vAlign w:val="center"/>
                </w:tcPr>
                <w:p w14:paraId="023E5895">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起燃温度低，节能，净化率高；操作方便；占地面积小</w:t>
                  </w:r>
                </w:p>
              </w:tc>
              <w:tc>
                <w:tcPr>
                  <w:tcW w:w="2435" w:type="dxa"/>
                  <w:vAlign w:val="center"/>
                </w:tcPr>
                <w:p w14:paraId="2CD90A8C">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投资成本较大；只适用于高温或高浓度的有机废气，为提高废气的温度需消耗大量的电能，运行费用高</w:t>
                  </w:r>
                </w:p>
              </w:tc>
            </w:tr>
            <w:tr w14:paraId="40B0D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99" w:type="dxa"/>
                  <w:vMerge w:val="continue"/>
                  <w:vAlign w:val="center"/>
                </w:tcPr>
                <w:p w14:paraId="60B8279C">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733" w:type="dxa"/>
                  <w:vAlign w:val="center"/>
                </w:tcPr>
                <w:p w14:paraId="13D48788">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lang w:val="zh-CN" w:bidi="zh-CN"/>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蓄热式燃烧</w:t>
                  </w:r>
                </w:p>
              </w:tc>
              <w:tc>
                <w:tcPr>
                  <w:tcW w:w="3320" w:type="dxa"/>
                  <w:vAlign w:val="center"/>
                </w:tcPr>
                <w:p w14:paraId="5B60298C">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蓄热式燃烧其原理是把有机废气加热到 70 °C（具体需要看成分）以上，使废气中的 VOC 在分解成碳和水，产生的高温气体流经的陶瓷蓄热体，使陶瓷体升温而“蓄热”，此“蓄热”用于预热后续进入的有机废气。</w:t>
                  </w:r>
                </w:p>
              </w:tc>
              <w:tc>
                <w:tcPr>
                  <w:tcW w:w="1535" w:type="dxa"/>
                  <w:vAlign w:val="center"/>
                </w:tcPr>
                <w:p w14:paraId="1326C218">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适用于大风量、低浓度，操作费用低，净化率高；全自动控制、操作简单；安全性高。</w:t>
                  </w:r>
                </w:p>
              </w:tc>
              <w:tc>
                <w:tcPr>
                  <w:tcW w:w="2435" w:type="dxa"/>
                  <w:vAlign w:val="center"/>
                </w:tcPr>
                <w:p w14:paraId="50F0CB37">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较高的一次性投资，燃烧温度较高，不适合处理高浓度的有机废气，有很多运动部件，需要较多的维护工作</w:t>
                  </w:r>
                </w:p>
              </w:tc>
            </w:tr>
            <w:tr w14:paraId="0AF41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232" w:type="dxa"/>
                  <w:gridSpan w:val="2"/>
                  <w:vAlign w:val="center"/>
                </w:tcPr>
                <w:p w14:paraId="5AEECACE">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吸收法</w:t>
                  </w:r>
                </w:p>
                <w:p w14:paraId="15E7282A">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3320" w:type="dxa"/>
                  <w:vAlign w:val="center"/>
                </w:tcPr>
                <w:p w14:paraId="5FFC993D">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利用吸收液（水、碱液、或稀酸）对废气进行物理吸收和化学吸收达到净化和回收的目的</w:t>
                  </w:r>
                </w:p>
              </w:tc>
              <w:tc>
                <w:tcPr>
                  <w:tcW w:w="1535" w:type="dxa"/>
                  <w:vAlign w:val="center"/>
                </w:tcPr>
                <w:p w14:paraId="788FAC06">
                  <w:pPr>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2435" w:type="dxa"/>
                  <w:vAlign w:val="center"/>
                </w:tcPr>
                <w:p w14:paraId="3AC74D7A">
                  <w:pPr>
                    <w:widowControl/>
                    <w:autoSpaceDE w:val="0"/>
                    <w:autoSpaceDN w:val="0"/>
                    <w:adjustRightInd w:val="0"/>
                    <w:snapToGrid w:val="0"/>
                    <w:ind w:left="62"/>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适用于大气量、低温度、低浓度的废气；设备体积大，投资成本较高</w:t>
                  </w:r>
                </w:p>
              </w:tc>
            </w:tr>
          </w:tbl>
          <w:p w14:paraId="5263BE53">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经本项目工程分析可知，本工程有机废气中污染物浓度较高，且废气温度在 100℃以上。针对本工程排放有机废气特点，本项目选择水喷淋+活性炭吸附/脱附+催化氧化的组合工艺作为挥发性有机废气处理工艺。</w:t>
            </w:r>
          </w:p>
          <w:p w14:paraId="57894EF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①活性炭工作原理</w:t>
            </w:r>
          </w:p>
          <w:p w14:paraId="49A656C1">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含有机物的废气经风机的作用，经活性炭吸附层，利用活性炭多微孔比表面积大的吸附能力强将有机物质吸附在活性炭微孔内，洁净气被排出；经一段时间后，活性炭达到饱和状态时，停止吸附，此时有机物已经被浓缩在活性炭内。再利用催化燃烧对饱和活性炭进行脱附再生，重新投入使用。</w:t>
            </w:r>
          </w:p>
          <w:p w14:paraId="0D5B16D6">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待处理的有机混合废气经引风机作用，先经过预处理过滤装置去除废气中的粉尘及杂质部分，否则直接吸附会堵塞活性炭的微缩孔，从而影响吸附效果甚至失效，经过初步过滤后“相对纯净的有机废气”进入吸附装置进行吸附净化处理，有机物质被活性炭特有的作用力截留在其内部，洁净气体通过烟囱排放到大气中，经过一段时间吸附后，活性炭达到饱和状态，按照PLC自动控制程序将饱和的活性炭床与脱附后待用的活性炭</w:t>
            </w:r>
            <w:r>
              <w:rPr>
                <w:rFonts w:hint="default" w:ascii="Times New Roman" w:hAnsi="Times New Roman" w:cs="Times New Roman"/>
                <w:color w:val="000000" w:themeColor="text1"/>
                <w:kern w:val="0"/>
                <w:sz w:val="24"/>
                <w:highlight w:val="none"/>
                <w:lang w:bidi="ar"/>
                <w14:textFill>
                  <w14:solidFill>
                    <w14:schemeClr w14:val="tx1"/>
                  </w14:solidFill>
                </w14:textFill>
              </w:rPr>
              <w:t>床进行交替切换。CO自动升温将热空气通过风机送入活性炭床使碳层升温将有机物从活性炭中“蒸”出，脱附出来的废气属于高浓度、小风量、高温度的有机废气</w:t>
            </w:r>
          </w:p>
          <w:p w14:paraId="7A87D8B8">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预处理采用湿式喷淋+干式过滤处理后直接进入活性炭吸附。干式过滤采用多级净化处理。</w:t>
            </w:r>
          </w:p>
          <w:p w14:paraId="489207E6">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w:t>
            </w:r>
            <w:r>
              <w:rPr>
                <w:rFonts w:hint="default" w:ascii="Times New Roman" w:hAnsi="Times New Roman" w:cs="Times New Roman"/>
                <w:color w:val="000000" w:themeColor="text1"/>
                <w:kern w:val="0"/>
                <w:sz w:val="24"/>
                <w:highlight w:val="none"/>
                <w:lang w:bidi="ar"/>
                <w14:textFill>
                  <w14:solidFill>
                    <w14:schemeClr w14:val="tx1"/>
                  </w14:solidFill>
                </w14:textFill>
              </w:rPr>
              <w:t>热力燃烧法——催化燃烧</w:t>
            </w:r>
          </w:p>
          <w:p w14:paraId="2545E28A">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A、 工作原理</w:t>
            </w:r>
          </w:p>
          <w:p w14:paraId="051095C3">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VOC-CO 型有机气体催化净化装置，是利用催化剂使有害气体中的可燃组分在较低的温度下氧化分解的净化方法。对于 CnHm 和有机溶济蒸汽氧化分解生成 CO</w:t>
            </w:r>
            <w:r>
              <w:rPr>
                <w:rFonts w:hint="default" w:ascii="Times New Roman" w:hAnsi="Times New Roman"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和 H</w:t>
            </w:r>
            <w:r>
              <w:rPr>
                <w:rFonts w:hint="default" w:ascii="Times New Roman" w:hAnsi="Times New Roman"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O 并释放出大量热量。其反应方程式为：</w:t>
            </w:r>
          </w:p>
          <w:p w14:paraId="684E1435">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3272790" cy="420370"/>
                  <wp:effectExtent l="0" t="0" r="3810" b="17780"/>
                  <wp:docPr id="35" name="图片 35" descr="1724048987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24048987887"/>
                          <pic:cNvPicPr>
                            <a:picLocks noChangeAspect="1"/>
                          </pic:cNvPicPr>
                        </pic:nvPicPr>
                        <pic:blipFill>
                          <a:blip r:embed="rId28"/>
                          <a:stretch>
                            <a:fillRect/>
                          </a:stretch>
                        </pic:blipFill>
                        <pic:spPr>
                          <a:xfrm>
                            <a:off x="0" y="0"/>
                            <a:ext cx="3272790" cy="420370"/>
                          </a:xfrm>
                          <a:prstGeom prst="rect">
                            <a:avLst/>
                          </a:prstGeom>
                        </pic:spPr>
                      </pic:pic>
                    </a:graphicData>
                  </a:graphic>
                </wp:inline>
              </w:drawing>
            </w:r>
          </w:p>
          <w:p w14:paraId="166A2234">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该装置主体结构由净化装置主机、引风机、控制系统三大部分组成。其装置包括：阻火除尘器、热交换器、预热器、催化燃烧室。</w:t>
            </w:r>
          </w:p>
          <w:p w14:paraId="00AEDC6B">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270500" cy="1672590"/>
                  <wp:effectExtent l="12700" t="12700" r="12700" b="2921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29"/>
                          <a:stretch>
                            <a:fillRect/>
                          </a:stretch>
                        </pic:blipFill>
                        <pic:spPr>
                          <a:xfrm>
                            <a:off x="0" y="0"/>
                            <a:ext cx="5270500" cy="1672590"/>
                          </a:xfrm>
                          <a:prstGeom prst="rect">
                            <a:avLst/>
                          </a:prstGeom>
                          <a:noFill/>
                          <a:ln w="12700" cmpd="sng">
                            <a:solidFill>
                              <a:schemeClr val="tx1"/>
                            </a:solidFill>
                            <a:prstDash val="solid"/>
                          </a:ln>
                        </pic:spPr>
                      </pic:pic>
                    </a:graphicData>
                  </a:graphic>
                </wp:inline>
              </w:drawing>
            </w:r>
          </w:p>
          <w:p w14:paraId="4F4A98D6">
            <w:pPr>
              <w:widowControl/>
              <w:jc w:val="center"/>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bidi="ar"/>
                <w14:textFill>
                  <w14:solidFill>
                    <w14:schemeClr w14:val="tx1"/>
                  </w14:solidFill>
                </w14:textFill>
              </w:rPr>
              <w:t>图4-2  VOC-CO原理图</w:t>
            </w:r>
          </w:p>
          <w:p w14:paraId="7BD62AC6">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活性炭脱附出来的高浓度、小风量、高温度的有机废气经阻火除尘器过滤后，进入特制的板式热交换器，和催化反应后的高温气体进行能量间接交换，此时废气源的温度得到第一次提升；具有一定温度的气体进入预热器，进行第二次的温度提升；之后进入第一级催化反应，此时有机废气在低温下部份分解，并释放出能量，对废气源进行直接加热，将气体温度提高到催化反应的最佳温度；经温度检测系统检测，温度符合催化反应的温度要求，进入催化燃烧室，将有机气体彻底分解，同时释放出大量的热量；净化后的气体通过热交换器将热能转换给出冷气流，降温后气体由引风机排空。</w:t>
            </w:r>
          </w:p>
          <w:p w14:paraId="6233DBD9">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有机物利用自身氧化燃烧释放出的热量维持自燃，如果脱附废气浓度足够高，CO 正常使用需要很少的电功率加热，做到真正的节能、环保，同时，整套装置安全、可靠、无任何二次污染。</w:t>
            </w:r>
          </w:p>
          <w:p w14:paraId="7A85FFA7">
            <w:pPr>
              <w:widowControl/>
              <w:spacing w:line="360" w:lineRule="auto"/>
              <w:ind w:firstLine="480" w:firstLineChars="20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B、工艺技术特点 </w:t>
            </w:r>
          </w:p>
          <w:p w14:paraId="01AD921F">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本项目处理废气量大，浓度不高（低于~200mg/m</w:t>
            </w:r>
            <w:r>
              <w:rPr>
                <w:rFonts w:hint="default" w:ascii="Times New Roman" w:hAnsi="Times New Roman" w:cs="Times New Roman"/>
                <w:color w:val="000000" w:themeColor="text1"/>
                <w:kern w:val="0"/>
                <w:sz w:val="24"/>
                <w:highlight w:val="none"/>
                <w:vertAlign w:val="superscript"/>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)，设计采用一套吸附系统，根据行业要求及减少用户投资成本、运行维护费用，本工程选用活性炭吸附浓缩+催化燃烧法（设备型号VOC-HS）净化处理，预处理采用水喷淋+干式过滤除尘。 </w:t>
            </w:r>
          </w:p>
          <w:p w14:paraId="7ACB6AD4">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活性炭吸附：挥发性有机废气利用活性炭进行吸附浓缩，当活性炭吸附达到饱和时，利用催化氧化装置出来的烟气混合部分新鲜空气作为脱附风脱附活性炭吸附的挥发性有机气体，因运行过程中充分利用有机物自身氧化放出的热量，维持系统能量平衡，从而减少了电的消耗，使活性炭+催化氧化装置实现经济运行。同时；活性炭吸附箱设置消防水管路，有效避免活性炭的火灾损坏，同时在活性炭脱附营道出口与空气预热器进口之间设置阻火器，阻火器的设置可以有效起到防爆阻火的目的,保护系统装置的安全运行。</w:t>
            </w:r>
          </w:p>
          <w:p w14:paraId="68CE305D">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活性炭脱附：当吸活性炭附床吸附饱和后，启动脱附风机对该吸附床脱附，脱附气体首先经过催化床中的换热器，然后进入催化床中的预热器，在电加热器的作用下，使气体温度提高到250-280℃左右，使脱附后的高浓度气体利用 CO 炉高温烟气在催化剂的作用下燃烧，被分解为C0</w:t>
            </w:r>
            <w:r>
              <w:rPr>
                <w:rFonts w:hint="default" w:ascii="Times New Roman" w:hAnsi="Times New Roman"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和H</w:t>
            </w:r>
            <w:r>
              <w:rPr>
                <w:rFonts w:hint="default" w:ascii="Times New Roman" w:hAnsi="Times New Roman"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cs="Times New Roman"/>
                <w:color w:val="000000" w:themeColor="text1"/>
                <w:kern w:val="0"/>
                <w:sz w:val="24"/>
                <w:highlight w:val="none"/>
                <w:lang w:bidi="ar"/>
                <w14:textFill>
                  <w14:solidFill>
                    <w14:schemeClr w14:val="tx1"/>
                  </w14:solidFill>
                </w14:textFill>
              </w:rPr>
              <w:t>0，同时放出大量的热，气体温度进一部提高，该高温气体再次通过换热器，与进来的冷风换热，回收一部分热量。从换热器出来的气体分两部分：一部分直接排空；另一部分进入吸附床对活性炭进行脱附。当脱附温度过高时可启动补冷风机进行补冷，使脱附气体温度稳定在一个合适的范围内。活性炭吸附床内温度超过报警值，自动启用火灾应急自动喷淋系统。</w:t>
            </w:r>
          </w:p>
          <w:p w14:paraId="49225F8A">
            <w:pPr>
              <w:autoSpaceDE w:val="0"/>
              <w:autoSpaceDN w:val="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205095" cy="2362200"/>
                  <wp:effectExtent l="12700" t="12700" r="20955" b="25400"/>
                  <wp:docPr id="37" name="图片 37" descr="C:/Users/Administrator/Desktop/图片1副本.jpg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Desktop/图片1副本.jpg图片1副本"/>
                          <pic:cNvPicPr>
                            <a:picLocks noChangeAspect="1"/>
                          </pic:cNvPicPr>
                        </pic:nvPicPr>
                        <pic:blipFill>
                          <a:blip r:embed="rId30"/>
                          <a:srcRect l="13" r="13"/>
                          <a:stretch>
                            <a:fillRect/>
                          </a:stretch>
                        </pic:blipFill>
                        <pic:spPr>
                          <a:xfrm>
                            <a:off x="0" y="0"/>
                            <a:ext cx="5205095" cy="2362200"/>
                          </a:xfrm>
                          <a:prstGeom prst="rect">
                            <a:avLst/>
                          </a:prstGeom>
                          <a:ln w="12700" cmpd="sng">
                            <a:solidFill>
                              <a:schemeClr val="tx1"/>
                            </a:solidFill>
                            <a:prstDash val="solid"/>
                          </a:ln>
                        </pic:spPr>
                      </pic:pic>
                    </a:graphicData>
                  </a:graphic>
                </wp:inline>
              </w:drawing>
            </w:r>
          </w:p>
          <w:p w14:paraId="46B7FF5C">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a）排出废气分别接入独立活性炭吸附废气处理设备，根据 PLC 程序提示吸附停机状态采用催化燃烧对饱和箱体逐一脱附解析工艺。业主工作时间为 8 小时，废气处理方式为间接性工作，停机过程中进行脱附。 </w:t>
            </w:r>
          </w:p>
          <w:p w14:paraId="1BCC382D">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b）有机废气中的粉尘颗粒物较多，采用活性炭吸附时需将油、漆雾颗粒物去除，前处理采用水喷淋+干式过滤除尘方式。 </w:t>
            </w:r>
          </w:p>
          <w:p w14:paraId="0493E254">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c）以活性炭脱附出的高浓度废气进入温度为 250-280℃的 CO 炉中，在贵金属催化剂的作用下，从而分解 VOCs 分子，VOCs 在 CO 炉中的反应式如下：</w:t>
            </w:r>
          </w:p>
          <w:p w14:paraId="385E6B0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4219575" cy="496570"/>
                  <wp:effectExtent l="0" t="0" r="9525" b="17780"/>
                  <wp:docPr id="38" name="图片 38" descr="172404988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724049883633"/>
                          <pic:cNvPicPr>
                            <a:picLocks noChangeAspect="1"/>
                          </pic:cNvPicPr>
                        </pic:nvPicPr>
                        <pic:blipFill>
                          <a:blip r:embed="rId31"/>
                          <a:stretch>
                            <a:fillRect/>
                          </a:stretch>
                        </pic:blipFill>
                        <pic:spPr>
                          <a:xfrm>
                            <a:off x="0" y="0"/>
                            <a:ext cx="4219575" cy="496570"/>
                          </a:xfrm>
                          <a:prstGeom prst="rect">
                            <a:avLst/>
                          </a:prstGeom>
                        </pic:spPr>
                      </pic:pic>
                    </a:graphicData>
                  </a:graphic>
                </wp:inline>
              </w:drawing>
            </w:r>
          </w:p>
          <w:p w14:paraId="193D0CC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C、可行性分析</w:t>
            </w:r>
          </w:p>
          <w:p w14:paraId="5620770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根据《排污许可证申请与核发技术规范 铁路、船舶、航空航天和其他运输设备制造业》（HJ 1124-2020）表 C.4 其他运输设备制造排污单位废气污染防治推荐可行技术中推荐的可行性技术</w:t>
            </w:r>
            <w:r>
              <w:rPr>
                <w:rFonts w:hint="default" w:ascii="Times New Roman" w:hAnsi="Times New Roman" w:cs="Times New Roman"/>
                <w:color w:val="000000" w:themeColor="text1"/>
                <w:sz w:val="24"/>
                <w:highlight w:val="none"/>
                <w14:textFill>
                  <w14:solidFill>
                    <w14:schemeClr w14:val="tx1"/>
                  </w14:solidFill>
                </w14:textFill>
              </w:rPr>
              <w:t>：“挥发性有机物推荐可行技术：吸附/浓缩+热力燃烧/催化氧化等、热力焚烧/催化焚烧”，因此本项目挥发性有机废气先采用“活性炭吸附/脱附+热力燃烧（催化燃烧）”的防治措施属于污染防治的可行技术。</w:t>
            </w:r>
          </w:p>
          <w:p w14:paraId="3683129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综上所述，本项目喷漆废气通过密闭收集采用“水喷淋+干式过滤+活性炭吸附/脱附+催化燃烧+15m高排气筒外排”技术可行。</w:t>
            </w:r>
          </w:p>
          <w:p w14:paraId="5D6E37C0">
            <w:pPr>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（3）粉尘污染防治措施可行性论证</w:t>
            </w:r>
          </w:p>
          <w:p w14:paraId="685DA05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1）粉尘产生工序</w:t>
            </w:r>
          </w:p>
          <w:p w14:paraId="6ADDBA9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粉尘产生工序主要为等离子切割下料、抛丸及打磨产生的颗粒物均采用布袋除尘。</w:t>
            </w:r>
          </w:p>
          <w:p w14:paraId="574B420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2）环保措施工作原理</w:t>
            </w:r>
          </w:p>
          <w:p w14:paraId="7D30584F">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袋式除尘器是一种干式滤尘装置。滤料使用一段时间后，由于筛滤、碰撞、滞留、扩散、静电等效应，滤袋表面积聚了一层粉尘，这层粉尘称为初层，在此以后的运动过程中，初层成了滤料的主要过滤层，依靠初层的作用，网孔较大的滤料也能获得较高的过滤效率。随着粉尘在滤料表面的积聚，除尘器的效率和阻力都相应的增加，当滤料两侧的压力差很大时，会把有些已附着在滤料上的细小尘粒挤压过去，使除尘器效率下降。 </w:t>
            </w:r>
          </w:p>
          <w:p w14:paraId="42B8CC21">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另外，除尘器的阻力过高会使除尘系统的风量显著下降。因此，除尘器的阻力达到一定数值后，要及时清灰。清灰时不能破坏初层，以免效率下降。布袋除尘器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 </w:t>
            </w:r>
          </w:p>
          <w:p w14:paraId="467BEA86">
            <w:pPr>
              <w:widowControl/>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主要特点：</w:t>
            </w:r>
          </w:p>
          <w:p w14:paraId="1AE0FD09">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w:t>
            </w:r>
            <w:r>
              <w:rPr>
                <w:rFonts w:hint="default" w:ascii="Times New Roman" w:hAnsi="Times New Roman" w:cs="Times New Roman"/>
                <w:color w:val="000000" w:themeColor="text1"/>
                <w:kern w:val="0"/>
                <w:sz w:val="24"/>
                <w:highlight w:val="none"/>
                <w:lang w:bidi="ar"/>
                <w14:textFill>
                  <w14:solidFill>
                    <w14:schemeClr w14:val="tx1"/>
                  </w14:solidFill>
                </w14:textFill>
              </w:rPr>
              <w:t>除尘效率高，一般在99%以上，除尘器出口气体含尘浓度在10mg/m</w:t>
            </w:r>
            <w:r>
              <w:rPr>
                <w:rFonts w:hint="default" w:ascii="Times New Roman" w:hAnsi="Times New Roman" w:cs="Times New Roman"/>
                <w:color w:val="000000" w:themeColor="text1"/>
                <w:kern w:val="0"/>
                <w:sz w:val="24"/>
                <w:highlight w:val="none"/>
                <w:vertAlign w:val="superscript"/>
                <w:lang w:bidi="ar"/>
                <w14:textFill>
                  <w14:solidFill>
                    <w14:schemeClr w14:val="tx1"/>
                  </w14:solidFill>
                </w14:textFill>
              </w:rPr>
              <w:t>3</w:t>
            </w: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之内，对亚微米粒径的细尘有较高的分级效率。 </w:t>
            </w:r>
          </w:p>
          <w:p w14:paraId="4457FA64">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②处理风量的范围广，小的仅1min数m3，大的可达1min数万m3，用于工业炉窑的烟气除尘，减少大气污染物的排放。 </w:t>
            </w:r>
          </w:p>
          <w:p w14:paraId="7E2DAA09">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③结构简单，维护操作方便。 </w:t>
            </w:r>
          </w:p>
          <w:p w14:paraId="38E12810">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④在保证同样高除尘效率的前提下，造价低于电除尘器。 </w:t>
            </w:r>
          </w:p>
          <w:p w14:paraId="30CAACFA">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⑤采用玻璃纤维、聚四氟乙烯、P84等耐高温滤料时，可在200℃以上的高温条件下运行。 </w:t>
            </w:r>
          </w:p>
          <w:p w14:paraId="6A5AD161">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 xml:space="preserve">⑥对粉尘的特性不敏感，不受粉尘及电阻的影响。 </w:t>
            </w:r>
          </w:p>
          <w:p w14:paraId="391F58EB">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根据《排污许可证申请与核发技术规范 铁路、船舶、航空航天和其他运输设备制造业》（HJ 1124-2020）表 C.4 其他运输设备制造排污单位废气污染防治推荐可行技术中推荐的可行性技术：</w:t>
            </w:r>
            <w:r>
              <w:rPr>
                <w:rFonts w:hint="default" w:ascii="Times New Roman" w:hAnsi="Times New Roman" w:cs="Times New Roman"/>
                <w:color w:val="000000" w:themeColor="text1"/>
                <w:kern w:val="0"/>
                <w:sz w:val="24"/>
                <w:highlight w:val="none"/>
                <w:lang w:bidi="ar"/>
                <w14:textFill>
                  <w14:solidFill>
                    <w14:schemeClr w14:val="tx1"/>
                  </w14:solidFill>
                </w14:textFill>
              </w:rPr>
              <w:t>等离子切割下料、抛丸及打磨过程采用袋式除尘器可有效去除粉尘，技术可行。</w:t>
            </w:r>
          </w:p>
          <w:p w14:paraId="02A311AE">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bookmarkStart w:id="70" w:name="_Toc12896"/>
            <w:r>
              <w:rPr>
                <w:rFonts w:hint="default" w:ascii="Times New Roman" w:hAnsi="Times New Roman" w:cs="Times New Roman"/>
                <w:color w:val="000000" w:themeColor="text1"/>
                <w:sz w:val="24"/>
                <w:szCs w:val="24"/>
                <w:highlight w:val="none"/>
                <w14:textFill>
                  <w14:solidFill>
                    <w14:schemeClr w14:val="tx1"/>
                  </w14:solidFill>
                </w14:textFill>
              </w:rPr>
              <w:t>（3）焊接烟气防治措施</w:t>
            </w:r>
            <w:bookmarkEnd w:id="70"/>
          </w:p>
          <w:p w14:paraId="44E9FFAD">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w:t>
            </w:r>
            <w:r>
              <w:rPr>
                <w:rFonts w:hint="default" w:ascii="Times New Roman" w:hAnsi="Times New Roman" w:cs="Times New Roman"/>
                <w:color w:val="000000" w:themeColor="text1"/>
                <w:sz w:val="24"/>
                <w:highlight w:val="none"/>
                <w14:textFill>
                  <w14:solidFill>
                    <w14:schemeClr w14:val="tx1"/>
                  </w14:solidFill>
                </w14:textFill>
              </w:rPr>
              <w:t>激光切割</w:t>
            </w:r>
            <w:r>
              <w:rPr>
                <w:rFonts w:hint="default" w:ascii="Times New Roman" w:hAnsi="Times New Roman" w:cs="Times New Roman"/>
                <w:color w:val="000000" w:themeColor="text1"/>
                <w:sz w:val="24"/>
                <w:highlight w:val="none"/>
                <w14:textFill>
                  <w14:solidFill>
                    <w14:schemeClr w14:val="tx1"/>
                  </w14:solidFill>
                </w14:textFill>
              </w:rPr>
              <w:t>下料粉尘大部分为大金属颗粒物，容易在车间沉降；焊接产生的焊接烟气通过采用移动式烟尘净化器处理后呈无组织排放；参照《排污许可证申请与核发技术规范 汽车制造业》（HJ917-2018）表25废气污染推荐可行技术清单：“焊接—各种弧焊、激光焊，颗粒物推荐可行技术：袋式过滤、静电净化”；因此项目焊接工序产生的烟尘分别经布袋除尘、移动式烟尘净化器处理均属于污染防治的可行技术。</w:t>
            </w:r>
          </w:p>
          <w:p w14:paraId="600263EB">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 xml:space="preserve">4、油漆替代要求 </w:t>
            </w:r>
          </w:p>
          <w:p w14:paraId="56C0179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 xml:space="preserve">根据《重点行业挥发性有机物综合治理方案》（环大气〔2019〕53 号）：通过使用水性、粉末、高固体分、无溶剂、辐射固化等低 VOCs 含量的涂料，水性、辐射固化、植物基等低 VOCs 含量的油墨，水基、热熔、无溶剂、辐射固化、改性、生物降解等低VOCs 含量的胶粘剂，以及低 VOCs 含量、低反应活性的清洗剂等，替代溶剂型涂料、油墨、胶粘剂、清洗剂等，从源头减少 VOCs 产生。工业喷涂、包装印刷等行业要加大源头替代力度；化工行业要推广使用低（无）VOCs 含量、低反应活性的原辅材料，加快对芳香烃、含卤素有机化合物的绿色替代。企业应大力推广使用低 VOCs 含量木器涂料、车辆涂料、机械设备涂料、集装箱涂料以及建筑物和构筑物防护涂料等，在技术成熟的行业，推广使用低 VOCs 含量油墨和胶粘剂，重点区域到 2020 年年底前基本完成。 </w:t>
            </w:r>
          </w:p>
          <w:p w14:paraId="225516C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建议本项目在技术成熟的条件下，使用更多的水性漆代替油性漆，减少 VOCs 源头产生量。</w:t>
            </w:r>
          </w:p>
          <w:p w14:paraId="3557A8DC">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5、 排气筒高度设置合理性分析</w:t>
            </w:r>
          </w:p>
          <w:p w14:paraId="7EF5CE3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运营期大气污染物主要执行标准为：VOCs、二甲苯执行《表面涂装（汽车制造及维修）挥发性有机物、镍排放标准》（DB43/1356-2017），颗粒物执行《大气污染物综合排放标准》（GB16297-1996）；其中《表面涂装（汽车制造及维修）挥发性有机物、镍排放标准》（DB43/1356-2017）对排气筒高度要求均不低于15m；仅《大气污染物综合排放标准》（GB16297-1996）对排气筒高度的规定：排气筒高度最低不能少于15m，同时还应高于周围200m半径范围的建筑5m以上，不能达到该要求的排气筒，应按其高度对应的表列排放速率标准值严格50%执行。</w:t>
            </w:r>
          </w:p>
          <w:p w14:paraId="36F5336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由于项目厂界西侧约57m处为园区倒班宿舍，共6层约18m高，本项目与园区倒班宿舍距离位于200m范围内且颗粒物执行《大气污染物综合排放标准》（GB16297-1996）的排气筒有：喷漆车间的DA00</w:t>
            </w:r>
            <w:r>
              <w:rPr>
                <w:rFonts w:hint="default" w:ascii="Times New Roman" w:hAnsi="Times New Roman" w:cs="Times New Roman"/>
                <w:color w:val="000000" w:themeColor="text1"/>
                <w:sz w:val="24"/>
                <w:highlight w:val="none"/>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按要求排气筒高度应为23m；其余颗粒物执行《大气污染物综合排放标准》（GB16297-1996）的排气筒有：抛丸工序排气筒DA002、下料工序DA001，200m范围内最高建筑物为本项目车间12m，按要求本项目DA001排气筒高度应为17m，考虑到排气筒高度过高易产生安全隐患，建设单位经综合考虑拟统一将排气筒设置15m高，对执行《大气污染物综合排放标准》（GB16297-1996）的排气筒中颗粒物排放速率标准值严格50%执行；根据下表可知，本项目排气筒中颗粒物排放速率在按要求严格50%（即1.75kg/h）的情况下后仍能达标，因此，评价认为本项目排气筒高度为15m可行。</w:t>
            </w:r>
          </w:p>
          <w:p w14:paraId="77C2CAD0">
            <w:pPr>
              <w:widowControl/>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kern w:val="0"/>
                <w:szCs w:val="21"/>
                <w:highlight w:val="none"/>
                <w:lang w:bidi="ar"/>
                <w14:textFill>
                  <w14:solidFill>
                    <w14:schemeClr w14:val="tx1"/>
                  </w14:solidFill>
                </w14:textFill>
              </w:rPr>
              <w:t>表4-</w:t>
            </w:r>
            <w:r>
              <w:rPr>
                <w:rFonts w:hint="default" w:ascii="Times New Roman" w:hAnsi="Times New Roman" w:cs="Times New Roman"/>
                <w:b/>
                <w:bCs/>
                <w:color w:val="000000" w:themeColor="text1"/>
                <w:kern w:val="0"/>
                <w:szCs w:val="21"/>
                <w:highlight w:val="none"/>
                <w:lang w:bidi="ar"/>
                <w14:textFill>
                  <w14:solidFill>
                    <w14:schemeClr w14:val="tx1"/>
                  </w14:solidFill>
                </w14:textFill>
              </w:rPr>
              <w:t>20</w:t>
            </w:r>
            <w:r>
              <w:rPr>
                <w:rFonts w:hint="default" w:ascii="Times New Roman" w:hAnsi="Times New Roman" w:cs="Times New Roman"/>
                <w:b/>
                <w:bCs/>
                <w:color w:val="000000" w:themeColor="text1"/>
                <w:kern w:val="0"/>
                <w:szCs w:val="21"/>
                <w:highlight w:val="none"/>
                <w:lang w:bidi="ar"/>
                <w14:textFill>
                  <w14:solidFill>
                    <w14:schemeClr w14:val="tx1"/>
                  </w14:solidFill>
                </w14:textFill>
              </w:rPr>
              <w:t xml:space="preserve">  本项目排气筒高度设置合理性分析一览表</w:t>
            </w:r>
          </w:p>
          <w:tbl>
            <w:tblPr>
              <w:tblStyle w:val="3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0"/>
              <w:gridCol w:w="1560"/>
              <w:gridCol w:w="1365"/>
              <w:gridCol w:w="2055"/>
              <w:gridCol w:w="1462"/>
            </w:tblGrid>
            <w:tr w14:paraId="2AF05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14:paraId="06EB9530">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颗粒物执行《大气污染物综合排放标准》（GB16297-1996）的排气筒</w:t>
                  </w:r>
                </w:p>
              </w:tc>
              <w:tc>
                <w:tcPr>
                  <w:tcW w:w="1560" w:type="dxa"/>
                  <w:vAlign w:val="center"/>
                </w:tcPr>
                <w:p w14:paraId="16C6FD39">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排气筒位置</w:t>
                  </w:r>
                </w:p>
              </w:tc>
              <w:tc>
                <w:tcPr>
                  <w:tcW w:w="1365" w:type="dxa"/>
                  <w:vAlign w:val="center"/>
                </w:tcPr>
                <w:p w14:paraId="6AED42AE">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颗粒物排放速率</w:t>
                  </w:r>
                </w:p>
              </w:tc>
              <w:tc>
                <w:tcPr>
                  <w:tcW w:w="2055" w:type="dxa"/>
                  <w:vAlign w:val="center"/>
                </w:tcPr>
                <w:p w14:paraId="2B23F849">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《大气污染物综合排放标准》（GB16297-1996）15m高排气筒颗粒物二级标准50%</w:t>
                  </w:r>
                </w:p>
              </w:tc>
              <w:tc>
                <w:tcPr>
                  <w:tcW w:w="1462" w:type="dxa"/>
                  <w:vAlign w:val="center"/>
                </w:tcPr>
                <w:p w14:paraId="1DF8D1BA">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是否</w:t>
                  </w:r>
                </w:p>
                <w:p w14:paraId="6D9291CD">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14:paraId="4461B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14:paraId="6287FA75">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DA001</w:t>
                  </w:r>
                </w:p>
              </w:tc>
              <w:tc>
                <w:tcPr>
                  <w:tcW w:w="1560" w:type="dxa"/>
                  <w:vAlign w:val="center"/>
                </w:tcPr>
                <w:p w14:paraId="15A03BC4">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等离子切割北侧</w:t>
                  </w:r>
                </w:p>
              </w:tc>
              <w:tc>
                <w:tcPr>
                  <w:tcW w:w="1365" w:type="dxa"/>
                  <w:vAlign w:val="center"/>
                </w:tcPr>
                <w:p w14:paraId="3F2178D6">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0.084</w:t>
                  </w:r>
                  <w:r>
                    <w:rPr>
                      <w:rFonts w:hint="default" w:ascii="Times New Roman" w:hAnsi="Times New Roman" w:cs="Times New Roman"/>
                      <w:color w:val="000000" w:themeColor="text1"/>
                      <w:szCs w:val="21"/>
                      <w:highlight w:val="none"/>
                      <w14:textFill>
                        <w14:solidFill>
                          <w14:schemeClr w14:val="tx1"/>
                        </w14:solidFill>
                      </w14:textFill>
                    </w:rPr>
                    <w:t>kg/h</w:t>
                  </w:r>
                </w:p>
              </w:tc>
              <w:tc>
                <w:tcPr>
                  <w:tcW w:w="2055" w:type="dxa"/>
                  <w:vAlign w:val="center"/>
                </w:tcPr>
                <w:p w14:paraId="02259126">
                  <w:pPr>
                    <w:autoSpaceDE w:val="0"/>
                    <w:autoSpaceDN w:val="0"/>
                    <w:adjustRightInd w:val="0"/>
                    <w:snapToGrid w:val="0"/>
                    <w:ind w:left="62"/>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1.75kg/h</w:t>
                  </w:r>
                </w:p>
              </w:tc>
              <w:tc>
                <w:tcPr>
                  <w:tcW w:w="1462" w:type="dxa"/>
                  <w:vAlign w:val="center"/>
                </w:tcPr>
                <w:p w14:paraId="763E0564">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14:paraId="0D2C3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14:paraId="74790149">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DA002</w:t>
                  </w:r>
                </w:p>
              </w:tc>
              <w:tc>
                <w:tcPr>
                  <w:tcW w:w="1560" w:type="dxa"/>
                  <w:vAlign w:val="center"/>
                </w:tcPr>
                <w:p w14:paraId="61334C4C">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喷砂（抛丸）车间南侧</w:t>
                  </w:r>
                </w:p>
              </w:tc>
              <w:tc>
                <w:tcPr>
                  <w:tcW w:w="1365" w:type="dxa"/>
                  <w:vAlign w:val="center"/>
                </w:tcPr>
                <w:p w14:paraId="0802E657">
                  <w:pPr>
                    <w:widowControl/>
                    <w:adjustRightInd w:val="0"/>
                    <w:snapToGrid w:val="0"/>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0.201</w:t>
                  </w:r>
                  <w:r>
                    <w:rPr>
                      <w:rFonts w:hint="default" w:ascii="Times New Roman" w:hAnsi="Times New Roman" w:cs="Times New Roman"/>
                      <w:color w:val="000000" w:themeColor="text1"/>
                      <w:szCs w:val="21"/>
                      <w:highlight w:val="none"/>
                      <w14:textFill>
                        <w14:solidFill>
                          <w14:schemeClr w14:val="tx1"/>
                        </w14:solidFill>
                      </w14:textFill>
                    </w:rPr>
                    <w:t>kg/h</w:t>
                  </w:r>
                </w:p>
              </w:tc>
              <w:tc>
                <w:tcPr>
                  <w:tcW w:w="2055" w:type="dxa"/>
                  <w:vAlign w:val="center"/>
                </w:tcPr>
                <w:p w14:paraId="724B4C34">
                  <w:pPr>
                    <w:autoSpaceDE w:val="0"/>
                    <w:autoSpaceDN w:val="0"/>
                    <w:adjustRightInd w:val="0"/>
                    <w:snapToGrid w:val="0"/>
                    <w:ind w:left="62"/>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1.75kg/h</w:t>
                  </w:r>
                </w:p>
              </w:tc>
              <w:tc>
                <w:tcPr>
                  <w:tcW w:w="1462" w:type="dxa"/>
                  <w:vAlign w:val="center"/>
                </w:tcPr>
                <w:p w14:paraId="4DB7545C">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r w14:paraId="5624A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14:paraId="7418ADEB">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DA00</w:t>
                  </w:r>
                  <w:r>
                    <w:rPr>
                      <w:rFonts w:hint="default" w:ascii="Times New Roman" w:hAnsi="Times New Roman" w:cs="Times New Roman"/>
                      <w:color w:val="000000" w:themeColor="text1"/>
                      <w:szCs w:val="21"/>
                      <w:highlight w:val="none"/>
                      <w14:textFill>
                        <w14:solidFill>
                          <w14:schemeClr w14:val="tx1"/>
                        </w14:solidFill>
                      </w14:textFill>
                    </w:rPr>
                    <w:t>3</w:t>
                  </w:r>
                </w:p>
              </w:tc>
              <w:tc>
                <w:tcPr>
                  <w:tcW w:w="1560" w:type="dxa"/>
                  <w:vAlign w:val="center"/>
                </w:tcPr>
                <w:p w14:paraId="71D51644">
                  <w:pPr>
                    <w:autoSpaceDE w:val="0"/>
                    <w:autoSpaceDN w:val="0"/>
                    <w:adjustRightInd w:val="0"/>
                    <w:snapToGrid w:val="0"/>
                    <w:ind w:left="62"/>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喷漆车间东侧</w:t>
                  </w:r>
                </w:p>
              </w:tc>
              <w:tc>
                <w:tcPr>
                  <w:tcW w:w="1365" w:type="dxa"/>
                  <w:vAlign w:val="center"/>
                </w:tcPr>
                <w:p w14:paraId="16C41F53">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0.026</w:t>
                  </w:r>
                  <w:r>
                    <w:rPr>
                      <w:rFonts w:hint="default" w:ascii="Times New Roman" w:hAnsi="Times New Roman" w:cs="Times New Roman"/>
                      <w:color w:val="000000" w:themeColor="text1"/>
                      <w:szCs w:val="21"/>
                      <w:highlight w:val="none"/>
                      <w14:textFill>
                        <w14:solidFill>
                          <w14:schemeClr w14:val="tx1"/>
                        </w14:solidFill>
                      </w14:textFill>
                    </w:rPr>
                    <w:t>kg/h</w:t>
                  </w:r>
                </w:p>
              </w:tc>
              <w:tc>
                <w:tcPr>
                  <w:tcW w:w="2055" w:type="dxa"/>
                  <w:vAlign w:val="center"/>
                </w:tcPr>
                <w:p w14:paraId="7CF266ED">
                  <w:pPr>
                    <w:autoSpaceDE w:val="0"/>
                    <w:autoSpaceDN w:val="0"/>
                    <w:adjustRightInd w:val="0"/>
                    <w:snapToGrid w:val="0"/>
                    <w:ind w:left="62"/>
                    <w:jc w:val="center"/>
                    <w:rPr>
                      <w:rFonts w:hint="default" w:ascii="Times New Roman" w:hAnsi="Times New Roman" w:cs="Times New Roman"/>
                      <w:color w:val="000000" w:themeColor="text1"/>
                      <w:szCs w:val="21"/>
                      <w:highlight w:val="none"/>
                      <w:lang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1.75kg/h</w:t>
                  </w:r>
                </w:p>
              </w:tc>
              <w:tc>
                <w:tcPr>
                  <w:tcW w:w="1462" w:type="dxa"/>
                  <w:vAlign w:val="center"/>
                </w:tcPr>
                <w:p w14:paraId="7A637FA4">
                  <w:pPr>
                    <w:autoSpaceDE w:val="0"/>
                    <w:autoSpaceDN w:val="0"/>
                    <w:adjustRightInd w:val="0"/>
                    <w:snapToGrid w:val="0"/>
                    <w:ind w:left="62"/>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w:t>
                  </w:r>
                </w:p>
              </w:tc>
            </w:tr>
          </w:tbl>
          <w:p w14:paraId="5701055F">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6、监测要求</w:t>
            </w:r>
          </w:p>
          <w:p w14:paraId="5D37F044">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对生产过程中产生的废气进行监控，具体监测工作建议委托有资质的环境监测机构完成。根据本项目实际情况，并参照《环境监测技术规范》、</w:t>
            </w:r>
            <w:r>
              <w:rPr>
                <w:rFonts w:hint="default" w:ascii="Times New Roman" w:hAnsi="Times New Roman" w:cs="Times New Roman"/>
                <w:color w:val="000000" w:themeColor="text1"/>
                <w:kern w:val="0"/>
                <w:sz w:val="24"/>
                <w:highlight w:val="none"/>
                <w:lang w:bidi="ar"/>
                <w14:textFill>
                  <w14:solidFill>
                    <w14:schemeClr w14:val="tx1"/>
                  </w14:solidFill>
                </w14:textFill>
              </w:rPr>
              <w:t>《排污许可证申请与核发技术规范 铁路、船舶、航空航天和其他运输设备制造业》（HJ 1124-2020）</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u w:val="single"/>
                <w14:textFill>
                  <w14:solidFill>
                    <w14:schemeClr w14:val="tx1"/>
                  </w14:solidFill>
                </w14:textFill>
              </w:rPr>
              <w:t>《排污单位自行监测技术指南 涂装》（HJ 1086-2020）</w:t>
            </w:r>
            <w:r>
              <w:rPr>
                <w:rFonts w:hint="default" w:ascii="Times New Roman" w:hAnsi="Times New Roman" w:cs="Times New Roman"/>
                <w:color w:val="000000" w:themeColor="text1"/>
                <w:sz w:val="24"/>
                <w:highlight w:val="none"/>
                <w14:textFill>
                  <w14:solidFill>
                    <w14:schemeClr w14:val="tx1"/>
                  </w14:solidFill>
                </w14:textFill>
              </w:rPr>
              <w:t>、《工业企业土壤和地下水自行监测技术指南（试行）》（HJ1209-2021）等相关要求，本项目属于重点排污单位简化管理。</w:t>
            </w:r>
          </w:p>
          <w:p w14:paraId="460949FA">
            <w:pPr>
              <w:pStyle w:val="77"/>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表4-2</w:t>
            </w:r>
            <w:r>
              <w:rPr>
                <w:rFonts w:hint="default" w:ascii="Times New Roman" w:hAnsi="Times New Roman" w:cs="Times New Roman"/>
                <w:color w:val="000000" w:themeColor="text1"/>
                <w:sz w:val="21"/>
                <w:szCs w:val="21"/>
                <w:highlight w:val="none"/>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 xml:space="preserve">  项目废气自行监测要求</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694"/>
              <w:gridCol w:w="701"/>
              <w:gridCol w:w="1551"/>
              <w:gridCol w:w="1123"/>
              <w:gridCol w:w="2627"/>
            </w:tblGrid>
            <w:tr w14:paraId="6783B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tcBorders>
                    <w:top w:val="single" w:color="auto" w:sz="4" w:space="0"/>
                    <w:left w:val="single" w:color="auto" w:sz="4" w:space="0"/>
                    <w:bottom w:val="single" w:color="auto" w:sz="4" w:space="0"/>
                    <w:right w:val="single" w:color="auto" w:sz="4" w:space="0"/>
                  </w:tcBorders>
                  <w:vAlign w:val="center"/>
                </w:tcPr>
                <w:p w14:paraId="6D67DD86">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污染类型</w:t>
                  </w:r>
                </w:p>
              </w:tc>
              <w:tc>
                <w:tcPr>
                  <w:tcW w:w="999" w:type="pct"/>
                  <w:vAlign w:val="center"/>
                </w:tcPr>
                <w:p w14:paraId="44AA587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监测点位</w:t>
                  </w:r>
                </w:p>
              </w:tc>
              <w:tc>
                <w:tcPr>
                  <w:tcW w:w="414" w:type="pct"/>
                  <w:vAlign w:val="center"/>
                </w:tcPr>
                <w:p w14:paraId="56118229">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排放形式</w:t>
                  </w:r>
                </w:p>
              </w:tc>
              <w:tc>
                <w:tcPr>
                  <w:tcW w:w="915" w:type="pct"/>
                  <w:vAlign w:val="center"/>
                </w:tcPr>
                <w:p w14:paraId="78BB350F">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监测因子</w:t>
                  </w:r>
                </w:p>
              </w:tc>
              <w:tc>
                <w:tcPr>
                  <w:tcW w:w="663" w:type="pct"/>
                  <w:vAlign w:val="center"/>
                </w:tcPr>
                <w:p w14:paraId="40EF7C4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监测频次</w:t>
                  </w:r>
                </w:p>
              </w:tc>
              <w:tc>
                <w:tcPr>
                  <w:tcW w:w="1550" w:type="pct"/>
                  <w:vAlign w:val="center"/>
                </w:tcPr>
                <w:p w14:paraId="3E809FE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执行排放标准</w:t>
                  </w:r>
                </w:p>
              </w:tc>
            </w:tr>
            <w:tr w14:paraId="4AA5A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restart"/>
                  <w:tcBorders>
                    <w:top w:val="single" w:color="auto" w:sz="4" w:space="0"/>
                    <w:left w:val="single" w:color="auto" w:sz="4" w:space="0"/>
                    <w:right w:val="single" w:color="auto" w:sz="4" w:space="0"/>
                  </w:tcBorders>
                  <w:vAlign w:val="center"/>
                </w:tcPr>
                <w:p w14:paraId="43FE74F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废气</w:t>
                  </w:r>
                </w:p>
              </w:tc>
              <w:tc>
                <w:tcPr>
                  <w:tcW w:w="999" w:type="pct"/>
                  <w:vAlign w:val="center"/>
                </w:tcPr>
                <w:p w14:paraId="13DB0CD7">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抛丸废气</w:t>
                  </w:r>
                </w:p>
                <w:p w14:paraId="55886268">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、焊接烟气</w:t>
                  </w:r>
                </w:p>
              </w:tc>
              <w:tc>
                <w:tcPr>
                  <w:tcW w:w="414" w:type="pct"/>
                  <w:vAlign w:val="center"/>
                </w:tcPr>
                <w:p w14:paraId="6C34028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有组织</w:t>
                  </w:r>
                </w:p>
              </w:tc>
              <w:tc>
                <w:tcPr>
                  <w:tcW w:w="915" w:type="pct"/>
                  <w:vAlign w:val="center"/>
                </w:tcPr>
                <w:p w14:paraId="2250D6B9">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w:t>
                  </w:r>
                </w:p>
              </w:tc>
              <w:tc>
                <w:tcPr>
                  <w:tcW w:w="663" w:type="pct"/>
                  <w:vAlign w:val="center"/>
                </w:tcPr>
                <w:p w14:paraId="124A322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1次/年</w:t>
                  </w:r>
                </w:p>
              </w:tc>
              <w:tc>
                <w:tcPr>
                  <w:tcW w:w="1550" w:type="pct"/>
                  <w:vAlign w:val="center"/>
                </w:tcPr>
                <w:p w14:paraId="4373C05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《大气污染物综合排放标准》（GB16297-1996）表2标准</w:t>
                  </w:r>
                </w:p>
              </w:tc>
            </w:tr>
            <w:tr w14:paraId="65973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tcBorders>
                    <w:left w:val="single" w:color="auto" w:sz="4" w:space="0"/>
                    <w:right w:val="single" w:color="auto" w:sz="4" w:space="0"/>
                  </w:tcBorders>
                  <w:vAlign w:val="center"/>
                </w:tcPr>
                <w:p w14:paraId="4F051D4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1241B179">
                  <w:pPr>
                    <w:adjustRightInd w:val="0"/>
                    <w:snapToGrid w:val="0"/>
                    <w:jc w:val="center"/>
                    <w:rPr>
                      <w:rFonts w:hint="default" w:ascii="Times New Roman" w:hAnsi="Times New Roman" w:cs="Times New Roman"/>
                      <w:bCs/>
                      <w:color w:val="000000" w:themeColor="text1"/>
                      <w:szCs w:val="21"/>
                      <w:highlight w:val="none"/>
                      <w:u w:val="single"/>
                      <w14:textFill>
                        <w14:solidFill>
                          <w14:schemeClr w14:val="tx1"/>
                        </w14:solidFill>
                      </w14:textFill>
                    </w:rPr>
                  </w:pPr>
                  <w:r>
                    <w:rPr>
                      <w:rFonts w:hint="default" w:ascii="Times New Roman" w:hAnsi="Times New Roman" w:cs="Times New Roman"/>
                      <w:bCs/>
                      <w:color w:val="000000" w:themeColor="text1"/>
                      <w:szCs w:val="21"/>
                      <w:highlight w:val="none"/>
                      <w:u w:val="single"/>
                      <w14:textFill>
                        <w14:solidFill>
                          <w14:schemeClr w14:val="tx1"/>
                        </w14:solidFill>
                      </w14:textFill>
                    </w:rPr>
                    <w:t>喷漆生产线挥发性有机废气排气筒排口</w:t>
                  </w:r>
                </w:p>
              </w:tc>
              <w:tc>
                <w:tcPr>
                  <w:tcW w:w="414" w:type="pct"/>
                  <w:vAlign w:val="center"/>
                </w:tcPr>
                <w:p w14:paraId="7D421FA8">
                  <w:pPr>
                    <w:adjustRightInd w:val="0"/>
                    <w:snapToGrid w:val="0"/>
                    <w:jc w:val="center"/>
                    <w:rPr>
                      <w:rFonts w:hint="default" w:ascii="Times New Roman" w:hAnsi="Times New Roman" w:cs="Times New Roman"/>
                      <w:bCs/>
                      <w:color w:val="000000" w:themeColor="text1"/>
                      <w:szCs w:val="21"/>
                      <w:highlight w:val="none"/>
                      <w:u w:val="single"/>
                      <w14:textFill>
                        <w14:solidFill>
                          <w14:schemeClr w14:val="tx1"/>
                        </w14:solidFill>
                      </w14:textFill>
                    </w:rPr>
                  </w:pPr>
                  <w:r>
                    <w:rPr>
                      <w:rFonts w:hint="default" w:ascii="Times New Roman" w:hAnsi="Times New Roman" w:cs="Times New Roman"/>
                      <w:bCs/>
                      <w:color w:val="000000" w:themeColor="text1"/>
                      <w:szCs w:val="21"/>
                      <w:highlight w:val="none"/>
                      <w:u w:val="single"/>
                      <w14:textFill>
                        <w14:solidFill>
                          <w14:schemeClr w14:val="tx1"/>
                        </w14:solidFill>
                      </w14:textFill>
                    </w:rPr>
                    <w:t>有组织</w:t>
                  </w:r>
                </w:p>
              </w:tc>
              <w:tc>
                <w:tcPr>
                  <w:tcW w:w="915" w:type="pct"/>
                  <w:vAlign w:val="center"/>
                </w:tcPr>
                <w:p w14:paraId="6CC572C7">
                  <w:pPr>
                    <w:adjustRightInd w:val="0"/>
                    <w:snapToGrid w:val="0"/>
                    <w:jc w:val="center"/>
                    <w:rPr>
                      <w:rFonts w:hint="default" w:ascii="Times New Roman" w:hAnsi="Times New Roman" w:cs="Times New Roman"/>
                      <w:bCs/>
                      <w:color w:val="000000" w:themeColor="text1"/>
                      <w:szCs w:val="21"/>
                      <w:highlight w:val="none"/>
                      <w:u w:val="single"/>
                      <w14:textFill>
                        <w14:solidFill>
                          <w14:schemeClr w14:val="tx1"/>
                        </w14:solidFill>
                      </w14:textFill>
                    </w:rPr>
                  </w:pPr>
                  <w:r>
                    <w:rPr>
                      <w:rFonts w:hint="default" w:ascii="Times New Roman" w:hAnsi="Times New Roman" w:cs="Times New Roman"/>
                      <w:bCs/>
                      <w:color w:val="000000" w:themeColor="text1"/>
                      <w:szCs w:val="21"/>
                      <w:highlight w:val="none"/>
                      <w:u w:val="single"/>
                      <w14:textFill>
                        <w14:solidFill>
                          <w14:schemeClr w14:val="tx1"/>
                        </w14:solidFill>
                      </w14:textFill>
                    </w:rPr>
                    <w:t>颗粒物、VOCs、二甲苯</w:t>
                  </w:r>
                </w:p>
              </w:tc>
              <w:tc>
                <w:tcPr>
                  <w:tcW w:w="663" w:type="pct"/>
                  <w:vAlign w:val="center"/>
                </w:tcPr>
                <w:p w14:paraId="6DD13B25">
                  <w:pPr>
                    <w:adjustRightInd w:val="0"/>
                    <w:snapToGrid w:val="0"/>
                    <w:jc w:val="center"/>
                    <w:rPr>
                      <w:rFonts w:hint="default" w:ascii="Times New Roman" w:hAnsi="Times New Roman" w:cs="Times New Roman"/>
                      <w:bCs/>
                      <w:color w:val="000000" w:themeColor="text1"/>
                      <w:szCs w:val="21"/>
                      <w:highlight w:val="none"/>
                      <w:u w:val="single"/>
                      <w14:textFill>
                        <w14:solidFill>
                          <w14:schemeClr w14:val="tx1"/>
                        </w14:solidFill>
                      </w14:textFill>
                    </w:rPr>
                  </w:pPr>
                  <w:r>
                    <w:rPr>
                      <w:rFonts w:hint="default" w:ascii="Times New Roman" w:hAnsi="Times New Roman" w:cs="Times New Roman"/>
                      <w:bCs/>
                      <w:color w:val="000000" w:themeColor="text1"/>
                      <w:szCs w:val="21"/>
                      <w:highlight w:val="none"/>
                      <w:u w:val="single"/>
                      <w14:textFill>
                        <w14:solidFill>
                          <w14:schemeClr w14:val="tx1"/>
                        </w14:solidFill>
                      </w14:textFill>
                    </w:rPr>
                    <w:t>1次/年</w:t>
                  </w:r>
                </w:p>
              </w:tc>
              <w:tc>
                <w:tcPr>
                  <w:tcW w:w="1550" w:type="pct"/>
                  <w:vAlign w:val="center"/>
                </w:tcPr>
                <w:p w14:paraId="0ED6E837">
                  <w:pPr>
                    <w:adjustRightInd w:val="0"/>
                    <w:snapToGrid w:val="0"/>
                    <w:jc w:val="center"/>
                    <w:rPr>
                      <w:rFonts w:hint="default" w:ascii="Times New Roman" w:hAnsi="Times New Roman" w:cs="Times New Roman"/>
                      <w:bCs/>
                      <w:color w:val="000000" w:themeColor="text1"/>
                      <w:szCs w:val="21"/>
                      <w:highlight w:val="none"/>
                      <w:u w:val="single"/>
                      <w14:textFill>
                        <w14:solidFill>
                          <w14:schemeClr w14:val="tx1"/>
                        </w14:solidFill>
                      </w14:textFill>
                    </w:rPr>
                  </w:pPr>
                  <w:r>
                    <w:rPr>
                      <w:rFonts w:hint="default" w:ascii="Times New Roman" w:hAnsi="Times New Roman" w:cs="Times New Roman"/>
                      <w:bCs/>
                      <w:color w:val="000000" w:themeColor="text1"/>
                      <w:szCs w:val="21"/>
                      <w:highlight w:val="none"/>
                      <w:u w:val="single"/>
                      <w14:textFill>
                        <w14:solidFill>
                          <w14:schemeClr w14:val="tx1"/>
                        </w14:solidFill>
                      </w14:textFill>
                    </w:rPr>
                    <w:t>《表面涂装（汽车制造及维修）挥发性有机物、镍排放标准》（DB43/1356-2017）有组织排放浓度限值执行表1要求，无组织排放浓度限值执行表3标准要求</w:t>
                  </w:r>
                </w:p>
              </w:tc>
            </w:tr>
            <w:tr w14:paraId="1A864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tcBorders>
                    <w:left w:val="single" w:color="auto" w:sz="4" w:space="0"/>
                    <w:right w:val="single" w:color="auto" w:sz="4" w:space="0"/>
                  </w:tcBorders>
                  <w:vAlign w:val="center"/>
                </w:tcPr>
                <w:p w14:paraId="761F483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292160D6">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打磨工序</w:t>
                  </w:r>
                </w:p>
                <w:p w14:paraId="008CADE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414" w:type="pct"/>
                  <w:vAlign w:val="center"/>
                </w:tcPr>
                <w:p w14:paraId="2FF8980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有组织</w:t>
                  </w:r>
                </w:p>
              </w:tc>
              <w:tc>
                <w:tcPr>
                  <w:tcW w:w="915" w:type="pct"/>
                  <w:vAlign w:val="center"/>
                </w:tcPr>
                <w:p w14:paraId="6EEC9928">
                  <w:pPr>
                    <w:adjustRightInd w:val="0"/>
                    <w:snapToGrid w:val="0"/>
                    <w:jc w:val="center"/>
                    <w:rPr>
                      <w:rFonts w:hint="default" w:ascii="Times New Roman" w:hAnsi="Times New Roman" w:cs="Times New Roman"/>
                      <w:bCs/>
                      <w:color w:val="000000" w:themeColor="text1"/>
                      <w:szCs w:val="21"/>
                      <w:highlight w:val="none"/>
                      <w:lang w:val="zh-CN" w:bidi="zh-CN"/>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w:t>
                  </w:r>
                </w:p>
              </w:tc>
              <w:tc>
                <w:tcPr>
                  <w:tcW w:w="663" w:type="pct"/>
                  <w:vAlign w:val="center"/>
                </w:tcPr>
                <w:p w14:paraId="05BC98B8">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1次/年</w:t>
                  </w:r>
                </w:p>
              </w:tc>
              <w:tc>
                <w:tcPr>
                  <w:tcW w:w="1550" w:type="pct"/>
                  <w:vAlign w:val="center"/>
                </w:tcPr>
                <w:p w14:paraId="2F3B8C68">
                  <w:pPr>
                    <w:adjustRightInd w:val="0"/>
                    <w:snapToGrid w:val="0"/>
                    <w:jc w:val="center"/>
                    <w:rPr>
                      <w:rFonts w:hint="default" w:ascii="Times New Roman" w:hAnsi="Times New Roman" w:cs="Times New Roman"/>
                      <w:bCs/>
                      <w:color w:val="000000" w:themeColor="text1"/>
                      <w:szCs w:val="21"/>
                      <w:highlight w:val="none"/>
                      <w:lang w:val="zh-CN" w:bidi="zh-CN"/>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《大气污染物综合排放标准》（GB16297-1996）表2标准</w:t>
                  </w:r>
                </w:p>
              </w:tc>
            </w:tr>
            <w:tr w14:paraId="539BD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tcBorders>
                    <w:left w:val="single" w:color="auto" w:sz="4" w:space="0"/>
                    <w:right w:val="single" w:color="auto" w:sz="4" w:space="0"/>
                  </w:tcBorders>
                  <w:vAlign w:val="center"/>
                </w:tcPr>
                <w:p w14:paraId="2CB108B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Merge w:val="restart"/>
                  <w:vAlign w:val="center"/>
                </w:tcPr>
                <w:p w14:paraId="1EA7A95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厂界</w:t>
                  </w:r>
                </w:p>
              </w:tc>
              <w:tc>
                <w:tcPr>
                  <w:tcW w:w="414" w:type="pct"/>
                  <w:vAlign w:val="center"/>
                </w:tcPr>
                <w:p w14:paraId="2117970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5" w:type="pct"/>
                  <w:vAlign w:val="center"/>
                </w:tcPr>
                <w:p w14:paraId="2109415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VOCs</w:t>
                  </w:r>
                </w:p>
                <w:p w14:paraId="7B1C1B4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二甲苯</w:t>
                  </w:r>
                </w:p>
              </w:tc>
              <w:tc>
                <w:tcPr>
                  <w:tcW w:w="663" w:type="pct"/>
                  <w:vAlign w:val="center"/>
                </w:tcPr>
                <w:p w14:paraId="004FD5A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11C527F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《表面涂装（汽车制造及维修）挥发性有机物、镍排放标准》（DB43/1356-2017）无组织排放浓度限值执行表3标准要求</w:t>
                  </w:r>
                </w:p>
              </w:tc>
            </w:tr>
            <w:tr w14:paraId="6353B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tcBorders>
                    <w:left w:val="single" w:color="auto" w:sz="4" w:space="0"/>
                    <w:right w:val="single" w:color="auto" w:sz="4" w:space="0"/>
                  </w:tcBorders>
                  <w:vAlign w:val="center"/>
                </w:tcPr>
                <w:p w14:paraId="1D575BF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Merge w:val="continue"/>
                  <w:vAlign w:val="center"/>
                </w:tcPr>
                <w:p w14:paraId="3B70F21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414" w:type="pct"/>
                  <w:vAlign w:val="center"/>
                </w:tcPr>
                <w:p w14:paraId="77036B5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5" w:type="pct"/>
                  <w:vAlign w:val="center"/>
                </w:tcPr>
                <w:p w14:paraId="593AABE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w:t>
                  </w:r>
                </w:p>
              </w:tc>
              <w:tc>
                <w:tcPr>
                  <w:tcW w:w="663" w:type="pct"/>
                  <w:vAlign w:val="center"/>
                </w:tcPr>
                <w:p w14:paraId="3AE24E2F">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16DE259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《大气污染物综合排放标准》（GB16297-1996）表2标准</w:t>
                  </w:r>
                </w:p>
              </w:tc>
            </w:tr>
            <w:tr w14:paraId="03716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6" w:type="pct"/>
                  <w:vMerge w:val="continue"/>
                  <w:tcBorders>
                    <w:left w:val="single" w:color="auto" w:sz="4" w:space="0"/>
                    <w:right w:val="single" w:color="auto" w:sz="4" w:space="0"/>
                  </w:tcBorders>
                  <w:vAlign w:val="center"/>
                </w:tcPr>
                <w:p w14:paraId="1E01ADC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4173E86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厂房内</w:t>
                  </w:r>
                </w:p>
              </w:tc>
              <w:tc>
                <w:tcPr>
                  <w:tcW w:w="414" w:type="pct"/>
                  <w:vAlign w:val="center"/>
                </w:tcPr>
                <w:p w14:paraId="16A6C99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5" w:type="pct"/>
                  <w:vAlign w:val="center"/>
                </w:tcPr>
                <w:p w14:paraId="178FDB4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VOCs</w:t>
                  </w:r>
                </w:p>
              </w:tc>
              <w:tc>
                <w:tcPr>
                  <w:tcW w:w="663" w:type="pct"/>
                  <w:vAlign w:val="center"/>
                </w:tcPr>
                <w:p w14:paraId="04DCFD1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2CE5B58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1"/>
                      <w:szCs w:val="21"/>
                      <w:highlight w:val="none"/>
                      <w14:textFill>
                        <w14:solidFill>
                          <w14:schemeClr w14:val="tx1"/>
                        </w14:solidFill>
                      </w14:textFill>
                    </w:rPr>
                    <w:t>《挥</w:t>
                  </w:r>
                  <w:r>
                    <w:rPr>
                      <w:rFonts w:hint="default" w:ascii="Times New Roman" w:hAnsi="Times New Roman" w:cs="Times New Roman"/>
                      <w:color w:val="000000" w:themeColor="text1"/>
                      <w:spacing w:val="-2"/>
                      <w:szCs w:val="21"/>
                      <w:highlight w:val="none"/>
                      <w14:textFill>
                        <w14:solidFill>
                          <w14:schemeClr w14:val="tx1"/>
                        </w14:solidFill>
                      </w14:textFill>
                    </w:rPr>
                    <w:t>发性有机物无组织排放控制标准》（GB37822-2019）附</w:t>
                  </w:r>
                  <w:r>
                    <w:rPr>
                      <w:rFonts w:hint="default" w:ascii="Times New Roman" w:hAnsi="Times New Roman" w:cs="Times New Roman"/>
                      <w:color w:val="000000" w:themeColor="text1"/>
                      <w:spacing w:val="-3"/>
                      <w:szCs w:val="21"/>
                      <w:highlight w:val="none"/>
                      <w14:textFill>
                        <w14:solidFill>
                          <w14:schemeClr w14:val="tx1"/>
                        </w14:solidFill>
                      </w14:textFill>
                    </w:rPr>
                    <w:t>录A</w:t>
                  </w:r>
                </w:p>
              </w:tc>
            </w:tr>
          </w:tbl>
          <w:p w14:paraId="31776571">
            <w:pPr>
              <w:rPr>
                <w:rFonts w:hint="default" w:ascii="Times New Roman" w:hAnsi="Times New Roman" w:cs="Times New Roman"/>
                <w:color w:val="000000" w:themeColor="text1"/>
                <w:highlight w:val="none"/>
                <w14:textFill>
                  <w14:solidFill>
                    <w14:schemeClr w14:val="tx1"/>
                  </w14:solidFill>
                </w14:textFill>
              </w:rPr>
            </w:pPr>
          </w:p>
          <w:p w14:paraId="4C7B7C10">
            <w:pPr>
              <w:spacing w:line="360" w:lineRule="auto"/>
              <w:ind w:firstLine="482" w:firstLineChars="200"/>
              <w:rPr>
                <w:rFonts w:hint="default" w:ascii="Times New Roman" w:hAnsi="Times New Roman" w:cs="Times New Roman"/>
                <w:b/>
                <w:bCs/>
                <w:snapToGrid w:val="0"/>
                <w:color w:val="000000" w:themeColor="text1"/>
                <w:kern w:val="0"/>
                <w:sz w:val="24"/>
                <w:highlight w:val="none"/>
                <w14:textFill>
                  <w14:solidFill>
                    <w14:schemeClr w14:val="tx1"/>
                  </w14:solidFill>
                </w14:textFill>
              </w:rPr>
            </w:pPr>
            <w:r>
              <w:rPr>
                <w:rFonts w:hint="default" w:ascii="Times New Roman" w:hAnsi="Times New Roman" w:cs="Times New Roman"/>
                <w:b/>
                <w:bCs/>
                <w:snapToGrid w:val="0"/>
                <w:color w:val="000000" w:themeColor="text1"/>
                <w:kern w:val="0"/>
                <w:sz w:val="24"/>
                <w:highlight w:val="none"/>
                <w14:textFill>
                  <w14:solidFill>
                    <w14:schemeClr w14:val="tx1"/>
                  </w14:solidFill>
                </w14:textFill>
              </w:rPr>
              <w:t>二、废水</w:t>
            </w:r>
          </w:p>
          <w:p w14:paraId="38534DC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1、源强核算</w:t>
            </w:r>
          </w:p>
          <w:p w14:paraId="6EDA93B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本项目员工从原厂进行调配，</w:t>
            </w:r>
            <w:r>
              <w:rPr>
                <w:rFonts w:hint="default" w:ascii="Times New Roman" w:hAnsi="Times New Roman" w:cs="Times New Roman"/>
                <w:color w:val="000000" w:themeColor="text1"/>
                <w:sz w:val="24"/>
                <w:highlight w:val="none"/>
                <w:u w:val="single"/>
                <w14:textFill>
                  <w14:solidFill>
                    <w14:schemeClr w14:val="tx1"/>
                  </w14:solidFill>
                </w14:textFill>
              </w:rPr>
              <w:t>不新增员工，无生活</w:t>
            </w:r>
            <w:r>
              <w:rPr>
                <w:rFonts w:hint="default" w:ascii="Times New Roman" w:hAnsi="Times New Roman" w:cs="Times New Roman"/>
                <w:color w:val="000000" w:themeColor="text1"/>
                <w:sz w:val="24"/>
                <w:highlight w:val="none"/>
                <w:u w:val="single"/>
                <w14:textFill>
                  <w14:solidFill>
                    <w14:schemeClr w14:val="tx1"/>
                  </w14:solidFill>
                </w14:textFill>
              </w:rPr>
              <w:t>污水</w:t>
            </w:r>
            <w:r>
              <w:rPr>
                <w:rFonts w:hint="default" w:ascii="Times New Roman" w:hAnsi="Times New Roman" w:cs="Times New Roman"/>
                <w:color w:val="000000" w:themeColor="text1"/>
                <w:sz w:val="24"/>
                <w:highlight w:val="none"/>
                <w:u w:val="single"/>
                <w14:textFill>
                  <w14:solidFill>
                    <w14:schemeClr w14:val="tx1"/>
                  </w14:solidFill>
                </w14:textFill>
              </w:rPr>
              <w:t>水；</w:t>
            </w:r>
            <w:r>
              <w:rPr>
                <w:rFonts w:hint="default" w:ascii="Times New Roman" w:hAnsi="Times New Roman" w:cs="Times New Roman"/>
                <w:color w:val="000000" w:themeColor="text1"/>
                <w:sz w:val="24"/>
                <w:highlight w:val="none"/>
                <w:u w:val="single"/>
                <w14:textFill>
                  <w14:solidFill>
                    <w14:schemeClr w14:val="tx1"/>
                  </w14:solidFill>
                </w14:textFill>
              </w:rPr>
              <w:t>填充工艺原料为干砂和袋装水泥，运输车辆无需清洗；</w:t>
            </w:r>
            <w:r>
              <w:rPr>
                <w:rFonts w:hint="default" w:ascii="Times New Roman" w:hAnsi="Times New Roman" w:cs="Times New Roman"/>
                <w:color w:val="000000" w:themeColor="text1"/>
                <w:sz w:val="24"/>
                <w:highlight w:val="none"/>
                <w14:textFill>
                  <w14:solidFill>
                    <w14:schemeClr w14:val="tx1"/>
                  </w14:solidFill>
                </w14:textFill>
              </w:rPr>
              <w:t>其他车间</w:t>
            </w:r>
            <w:r>
              <w:rPr>
                <w:rFonts w:hint="default" w:ascii="Times New Roman" w:hAnsi="Times New Roman" w:cs="Times New Roman"/>
                <w:color w:val="000000" w:themeColor="text1"/>
                <w:sz w:val="24"/>
                <w:highlight w:val="none"/>
                <w14:textFill>
                  <w14:solidFill>
                    <w14:schemeClr w14:val="tx1"/>
                  </w14:solidFill>
                </w14:textFill>
              </w:rPr>
              <w:t>地面采用干式清扫，无地面清洗</w:t>
            </w:r>
            <w:r>
              <w:rPr>
                <w:rFonts w:hint="default" w:ascii="Times New Roman" w:hAnsi="Times New Roman" w:cs="Times New Roman"/>
                <w:color w:val="000000" w:themeColor="text1"/>
                <w:sz w:val="24"/>
                <w:highlight w:val="none"/>
                <w14:textFill>
                  <w14:solidFill>
                    <w14:schemeClr w14:val="tx1"/>
                  </w14:solidFill>
                </w14:textFill>
              </w:rPr>
              <w:t>废</w:t>
            </w:r>
            <w:r>
              <w:rPr>
                <w:rFonts w:hint="default" w:ascii="Times New Roman" w:hAnsi="Times New Roman" w:cs="Times New Roman"/>
                <w:color w:val="000000" w:themeColor="text1"/>
                <w:sz w:val="24"/>
                <w:highlight w:val="none"/>
                <w14:textFill>
                  <w14:solidFill>
                    <w14:schemeClr w14:val="tx1"/>
                  </w14:solidFill>
                </w14:textFill>
              </w:rPr>
              <w:t>水。</w:t>
            </w:r>
            <w:r>
              <w:rPr>
                <w:rFonts w:hint="default" w:ascii="Times New Roman" w:hAnsi="Times New Roman" w:cs="Times New Roman"/>
                <w:color w:val="000000" w:themeColor="text1"/>
                <w:sz w:val="24"/>
                <w:highlight w:val="none"/>
                <w:u w:val="single"/>
                <w14:textFill>
                  <w14:solidFill>
                    <w14:schemeClr w14:val="tx1"/>
                  </w14:solidFill>
                </w14:textFill>
              </w:rPr>
              <w:t>填充工艺生产废水主要为</w:t>
            </w:r>
            <w:r>
              <w:rPr>
                <w:rFonts w:hint="default" w:ascii="Times New Roman" w:hAnsi="Times New Roman" w:cs="Times New Roman"/>
                <w:color w:val="000000" w:themeColor="text1"/>
                <w:sz w:val="24"/>
                <w:highlight w:val="none"/>
                <w:u w:val="single"/>
                <w14:textFill>
                  <w14:solidFill>
                    <w14:schemeClr w14:val="tx1"/>
                  </w14:solidFill>
                </w14:textFill>
              </w:rPr>
              <w:t>作业区地面冲洗、搅拌机冲洗</w:t>
            </w:r>
            <w:r>
              <w:rPr>
                <w:rFonts w:hint="default" w:ascii="Times New Roman" w:hAnsi="Times New Roman" w:cs="Times New Roman"/>
                <w:color w:val="000000" w:themeColor="text1"/>
                <w:sz w:val="24"/>
                <w:highlight w:val="none"/>
                <w:u w:val="single"/>
                <w14:textFill>
                  <w14:solidFill>
                    <w14:schemeClr w14:val="tx1"/>
                  </w14:solidFill>
                </w14:textFill>
              </w:rPr>
              <w:t>。</w:t>
            </w:r>
          </w:p>
          <w:p w14:paraId="5261D2EF">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①</w:t>
            </w:r>
            <w:r>
              <w:rPr>
                <w:rFonts w:hint="default" w:ascii="Times New Roman" w:hAnsi="Times New Roman" w:cs="Times New Roman"/>
                <w:color w:val="000000" w:themeColor="text1"/>
                <w:sz w:val="24"/>
                <w:highlight w:val="none"/>
                <w:u w:val="single"/>
                <w14:textFill>
                  <w14:solidFill>
                    <w14:schemeClr w14:val="tx1"/>
                  </w14:solidFill>
                </w14:textFill>
              </w:rPr>
              <w:t>作业区地面冲洗</w:t>
            </w:r>
            <w:r>
              <w:rPr>
                <w:rFonts w:hint="default" w:ascii="Times New Roman" w:hAnsi="Times New Roman" w:cs="Times New Roman"/>
                <w:color w:val="000000" w:themeColor="text1"/>
                <w:sz w:val="24"/>
                <w:highlight w:val="none"/>
                <w:u w:val="single"/>
                <w14:textFill>
                  <w14:solidFill>
                    <w14:schemeClr w14:val="tx1"/>
                  </w14:solidFill>
                </w14:textFill>
              </w:rPr>
              <w:t>废</w:t>
            </w:r>
            <w:r>
              <w:rPr>
                <w:rFonts w:hint="default" w:ascii="Times New Roman" w:hAnsi="Times New Roman" w:cs="Times New Roman"/>
                <w:color w:val="000000" w:themeColor="text1"/>
                <w:sz w:val="24"/>
                <w:highlight w:val="none"/>
                <w:u w:val="single"/>
                <w14:textFill>
                  <w14:solidFill>
                    <w14:schemeClr w14:val="tx1"/>
                  </w14:solidFill>
                </w14:textFill>
              </w:rPr>
              <w:t>水</w:t>
            </w:r>
          </w:p>
          <w:p w14:paraId="0DE5F39E">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搅拌作业后需对生产区区域地面进行冲洗，需进行冲洗的生产场地面积约</w:t>
            </w:r>
            <w:r>
              <w:rPr>
                <w:rFonts w:hint="default" w:ascii="Times New Roman" w:hAnsi="Times New Roman" w:cs="Times New Roman"/>
                <w:color w:val="000000" w:themeColor="text1"/>
                <w:sz w:val="24"/>
                <w:highlight w:val="none"/>
                <w:u w:val="single"/>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00m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，其冲洗用水量按5L/m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·d计算，场地冲洗用水总量为</w:t>
            </w:r>
            <w:r>
              <w:rPr>
                <w:rFonts w:hint="default" w:ascii="Times New Roman" w:hAnsi="Times New Roman" w:cs="Times New Roman"/>
                <w:color w:val="000000" w:themeColor="text1"/>
                <w:sz w:val="24"/>
                <w:highlight w:val="none"/>
                <w:u w:val="single"/>
                <w14:textFill>
                  <w14:solidFill>
                    <w14:schemeClr w14:val="tx1"/>
                  </w14:solidFill>
                </w14:textFill>
              </w:rPr>
              <w:t>1.5</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450</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w:t>
            </w:r>
            <w:r>
              <w:rPr>
                <w:rFonts w:hint="default" w:ascii="Times New Roman" w:hAnsi="Times New Roman" w:cs="Times New Roman"/>
                <w:color w:val="000000" w:themeColor="text1"/>
                <w:sz w:val="24"/>
                <w:highlight w:val="none"/>
                <w:u w:val="single"/>
                <w14:textFill>
                  <w14:solidFill>
                    <w14:schemeClr w14:val="tx1"/>
                  </w14:solidFill>
                </w14:textFill>
              </w:rPr>
              <w:t>废水产生系数按0.9计，则</w:t>
            </w:r>
            <w:r>
              <w:rPr>
                <w:rFonts w:hint="default" w:ascii="Times New Roman" w:hAnsi="Times New Roman" w:cs="Times New Roman"/>
                <w:color w:val="000000" w:themeColor="text1"/>
                <w:sz w:val="24"/>
                <w:highlight w:val="none"/>
                <w:u w:val="single"/>
                <w14:textFill>
                  <w14:solidFill>
                    <w14:schemeClr w14:val="tx1"/>
                  </w14:solidFill>
                </w14:textFill>
              </w:rPr>
              <w:t>作业区地面冲洗</w:t>
            </w:r>
            <w:r>
              <w:rPr>
                <w:rFonts w:hint="default" w:ascii="Times New Roman" w:hAnsi="Times New Roman" w:cs="Times New Roman"/>
                <w:color w:val="000000" w:themeColor="text1"/>
                <w:sz w:val="24"/>
                <w:highlight w:val="none"/>
                <w:u w:val="single"/>
                <w14:textFill>
                  <w14:solidFill>
                    <w14:schemeClr w14:val="tx1"/>
                  </w14:solidFill>
                </w14:textFill>
              </w:rPr>
              <w:t>废</w:t>
            </w:r>
            <w:r>
              <w:rPr>
                <w:rFonts w:hint="default" w:ascii="Times New Roman" w:hAnsi="Times New Roman" w:cs="Times New Roman"/>
                <w:color w:val="000000" w:themeColor="text1"/>
                <w:sz w:val="24"/>
                <w:highlight w:val="none"/>
                <w:u w:val="single"/>
                <w14:textFill>
                  <w14:solidFill>
                    <w14:schemeClr w14:val="tx1"/>
                  </w14:solidFill>
                </w14:textFill>
              </w:rPr>
              <w:t>水</w:t>
            </w:r>
            <w:r>
              <w:rPr>
                <w:rFonts w:hint="default" w:ascii="Times New Roman" w:hAnsi="Times New Roman" w:cs="Times New Roman"/>
                <w:color w:val="000000" w:themeColor="text1"/>
                <w:sz w:val="24"/>
                <w:highlight w:val="none"/>
                <w:u w:val="single"/>
                <w14:textFill>
                  <w14:solidFill>
                    <w14:schemeClr w14:val="tx1"/>
                  </w14:solidFill>
                </w14:textFill>
              </w:rPr>
              <w:t>产生量为1.35</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，主要污染物是SS。</w:t>
            </w:r>
          </w:p>
          <w:p w14:paraId="49BFB13D">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②</w:t>
            </w:r>
            <w:r>
              <w:rPr>
                <w:rFonts w:hint="default" w:ascii="Times New Roman" w:hAnsi="Times New Roman" w:cs="Times New Roman"/>
                <w:color w:val="000000" w:themeColor="text1"/>
                <w:sz w:val="24"/>
                <w:highlight w:val="none"/>
                <w:u w:val="single"/>
                <w14:textFill>
                  <w14:solidFill>
                    <w14:schemeClr w14:val="tx1"/>
                  </w14:solidFill>
                </w14:textFill>
              </w:rPr>
              <w:t>搅拌机冲洗</w:t>
            </w:r>
            <w:r>
              <w:rPr>
                <w:rFonts w:hint="default" w:ascii="Times New Roman" w:hAnsi="Times New Roman" w:cs="Times New Roman"/>
                <w:color w:val="000000" w:themeColor="text1"/>
                <w:sz w:val="24"/>
                <w:highlight w:val="none"/>
                <w:u w:val="single"/>
                <w14:textFill>
                  <w14:solidFill>
                    <w14:schemeClr w14:val="tx1"/>
                  </w14:solidFill>
                </w14:textFill>
              </w:rPr>
              <w:t>废</w:t>
            </w:r>
            <w:r>
              <w:rPr>
                <w:rFonts w:hint="default" w:ascii="Times New Roman" w:hAnsi="Times New Roman" w:cs="Times New Roman"/>
                <w:color w:val="000000" w:themeColor="text1"/>
                <w:sz w:val="24"/>
                <w:highlight w:val="none"/>
                <w:u w:val="single"/>
                <w14:textFill>
                  <w14:solidFill>
                    <w14:schemeClr w14:val="tx1"/>
                  </w14:solidFill>
                </w14:textFill>
              </w:rPr>
              <w:t>水</w:t>
            </w:r>
          </w:p>
          <w:p w14:paraId="59FF5DE1">
            <w:pPr>
              <w:spacing w:line="360" w:lineRule="auto"/>
              <w:ind w:firstLine="480" w:firstLineChars="200"/>
              <w:rPr>
                <w:rFonts w:hint="default" w:ascii="Times New Roman" w:hAnsi="Times New Roman" w:cs="Times New Roman"/>
                <w:color w:val="000000" w:themeColor="text1"/>
                <w:sz w:val="24"/>
                <w:highlight w:val="none"/>
                <w:u w:val="singl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w:t>
            </w:r>
            <w:r>
              <w:rPr>
                <w:rFonts w:hint="default" w:ascii="Times New Roman" w:hAnsi="Times New Roman" w:cs="Times New Roman"/>
                <w:color w:val="000000" w:themeColor="text1"/>
                <w:sz w:val="24"/>
                <w:highlight w:val="none"/>
                <w:u w:val="single"/>
                <w14:textFill>
                  <w14:solidFill>
                    <w14:schemeClr w14:val="tx1"/>
                  </w14:solidFill>
                </w14:textFill>
              </w:rPr>
              <w:t>预拌</w:t>
            </w:r>
            <w:r>
              <w:rPr>
                <w:rFonts w:hint="default" w:ascii="Times New Roman" w:hAnsi="Times New Roman" w:cs="Times New Roman"/>
                <w:color w:val="000000" w:themeColor="text1"/>
                <w:sz w:val="24"/>
                <w:highlight w:val="none"/>
                <w:u w:val="single"/>
                <w14:textFill>
                  <w14:solidFill>
                    <w14:schemeClr w14:val="tx1"/>
                  </w14:solidFill>
                </w14:textFill>
              </w:rPr>
              <w:t>混凝土设置</w:t>
            </w:r>
            <w:r>
              <w:rPr>
                <w:rFonts w:hint="default" w:ascii="Times New Roman" w:hAnsi="Times New Roman" w:cs="Times New Roman"/>
                <w:color w:val="000000" w:themeColor="text1"/>
                <w:sz w:val="24"/>
                <w:highlight w:val="none"/>
                <w:u w:val="single"/>
                <w14:textFill>
                  <w14:solidFill>
                    <w14:schemeClr w14:val="tx1"/>
                  </w14:solidFill>
                </w14:textFill>
              </w:rPr>
              <w:t>两</w:t>
            </w:r>
            <w:r>
              <w:rPr>
                <w:rFonts w:hint="default" w:ascii="Times New Roman" w:hAnsi="Times New Roman" w:cs="Times New Roman"/>
                <w:color w:val="000000" w:themeColor="text1"/>
                <w:sz w:val="24"/>
                <w:highlight w:val="none"/>
                <w:u w:val="single"/>
                <w14:textFill>
                  <w14:solidFill>
                    <w14:schemeClr w14:val="tx1"/>
                  </w14:solidFill>
                </w14:textFill>
              </w:rPr>
              <w:t>台</w:t>
            </w:r>
            <w:r>
              <w:rPr>
                <w:rFonts w:hint="default" w:ascii="Times New Roman" w:hAnsi="Times New Roman" w:cs="Times New Roman"/>
                <w:color w:val="000000" w:themeColor="text1"/>
                <w:sz w:val="24"/>
                <w:highlight w:val="none"/>
                <w:u w:val="single"/>
                <w14:textFill>
                  <w14:solidFill>
                    <w14:schemeClr w14:val="tx1"/>
                  </w14:solidFill>
                </w14:textFill>
              </w:rPr>
              <w:t>可移动式</w:t>
            </w:r>
            <w:r>
              <w:rPr>
                <w:rFonts w:hint="default" w:ascii="Times New Roman" w:hAnsi="Times New Roman" w:cs="Times New Roman"/>
                <w:color w:val="000000" w:themeColor="text1"/>
                <w:sz w:val="24"/>
                <w:highlight w:val="none"/>
                <w:u w:val="single"/>
                <w14:textFill>
                  <w14:solidFill>
                    <w14:schemeClr w14:val="tx1"/>
                  </w14:solidFill>
                </w14:textFill>
              </w:rPr>
              <w:t>搅拌机</w:t>
            </w:r>
            <w:r>
              <w:rPr>
                <w:rFonts w:hint="default" w:ascii="Times New Roman" w:hAnsi="Times New Roman" w:cs="Times New Roman"/>
                <w:color w:val="000000" w:themeColor="text1"/>
                <w:sz w:val="24"/>
                <w:highlight w:val="none"/>
                <w:u w:val="single"/>
                <w14:textFill>
                  <w14:solidFill>
                    <w14:schemeClr w14:val="tx1"/>
                  </w14:solidFill>
                </w14:textFill>
              </w:rPr>
              <w:t>（一用一备）</w:t>
            </w:r>
            <w:r>
              <w:rPr>
                <w:rFonts w:hint="default" w:ascii="Times New Roman" w:hAnsi="Times New Roman" w:cs="Times New Roman"/>
                <w:color w:val="000000" w:themeColor="text1"/>
                <w:sz w:val="24"/>
                <w:highlight w:val="none"/>
                <w:u w:val="single"/>
                <w14:textFill>
                  <w14:solidFill>
                    <w14:schemeClr w14:val="tx1"/>
                  </w14:solidFill>
                </w14:textFill>
              </w:rPr>
              <w:t>，搅拌机每天冲洗一次，冲洗用水约为3m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/次，则搅拌机冲洗用水量为</w:t>
            </w:r>
            <w:r>
              <w:rPr>
                <w:rFonts w:hint="default" w:ascii="Times New Roman" w:hAnsi="Times New Roman" w:cs="Times New Roman"/>
                <w:color w:val="000000" w:themeColor="text1"/>
                <w:sz w:val="24"/>
                <w:highlight w:val="none"/>
                <w:u w:val="single"/>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900</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/a）。</w:t>
            </w:r>
            <w:r>
              <w:rPr>
                <w:rFonts w:hint="default" w:ascii="Times New Roman" w:hAnsi="Times New Roman" w:cs="Times New Roman"/>
                <w:color w:val="000000" w:themeColor="text1"/>
                <w:sz w:val="24"/>
                <w:highlight w:val="none"/>
                <w:u w:val="single"/>
                <w14:textFill>
                  <w14:solidFill>
                    <w14:schemeClr w14:val="tx1"/>
                  </w14:solidFill>
                </w14:textFill>
              </w:rPr>
              <w:t>废水产生系数按0.9计，则</w:t>
            </w:r>
            <w:r>
              <w:rPr>
                <w:rFonts w:hint="default" w:ascii="Times New Roman" w:hAnsi="Times New Roman" w:cs="Times New Roman"/>
                <w:color w:val="000000" w:themeColor="text1"/>
                <w:sz w:val="24"/>
                <w:highlight w:val="none"/>
                <w:u w:val="single"/>
                <w14:textFill>
                  <w14:solidFill>
                    <w14:schemeClr w14:val="tx1"/>
                  </w14:solidFill>
                </w14:textFill>
              </w:rPr>
              <w:t>搅拌机冲洗</w:t>
            </w:r>
            <w:r>
              <w:rPr>
                <w:rFonts w:hint="default" w:ascii="Times New Roman" w:hAnsi="Times New Roman" w:cs="Times New Roman"/>
                <w:color w:val="000000" w:themeColor="text1"/>
                <w:sz w:val="24"/>
                <w:highlight w:val="none"/>
                <w:u w:val="single"/>
                <w14:textFill>
                  <w14:solidFill>
                    <w14:schemeClr w14:val="tx1"/>
                  </w14:solidFill>
                </w14:textFill>
              </w:rPr>
              <w:t>废</w:t>
            </w:r>
            <w:r>
              <w:rPr>
                <w:rFonts w:hint="default" w:ascii="Times New Roman" w:hAnsi="Times New Roman" w:cs="Times New Roman"/>
                <w:color w:val="000000" w:themeColor="text1"/>
                <w:sz w:val="24"/>
                <w:highlight w:val="none"/>
                <w:u w:val="single"/>
                <w14:textFill>
                  <w14:solidFill>
                    <w14:schemeClr w14:val="tx1"/>
                  </w14:solidFill>
                </w14:textFill>
              </w:rPr>
              <w:t>水</w:t>
            </w:r>
            <w:r>
              <w:rPr>
                <w:rFonts w:hint="default" w:ascii="Times New Roman" w:hAnsi="Times New Roman" w:cs="Times New Roman"/>
                <w:color w:val="000000" w:themeColor="text1"/>
                <w:sz w:val="24"/>
                <w:highlight w:val="none"/>
                <w:u w:val="single"/>
                <w14:textFill>
                  <w14:solidFill>
                    <w14:schemeClr w14:val="tx1"/>
                  </w14:solidFill>
                </w14:textFill>
              </w:rPr>
              <w:t>产生量为2.7</w:t>
            </w:r>
            <w:r>
              <w:rPr>
                <w:rFonts w:hint="default" w:ascii="Times New Roman" w:hAnsi="Times New Roman" w:cs="Times New Roman"/>
                <w:color w:val="000000" w:themeColor="text1"/>
                <w:sz w:val="24"/>
                <w:highlight w:val="none"/>
                <w:u w:val="single"/>
                <w14:textFill>
                  <w14:solidFill>
                    <w14:schemeClr w14:val="tx1"/>
                  </w14:solidFill>
                </w14:textFill>
              </w:rPr>
              <w:t>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3</w:t>
            </w:r>
            <w:r>
              <w:rPr>
                <w:rFonts w:hint="default" w:ascii="Times New Roman" w:hAnsi="Times New Roman" w:cs="Times New Roman"/>
                <w:color w:val="000000" w:themeColor="text1"/>
                <w:sz w:val="24"/>
                <w:highlight w:val="none"/>
                <w:u w:val="single"/>
                <w14:textFill>
                  <w14:solidFill>
                    <w14:schemeClr w14:val="tx1"/>
                  </w14:solidFill>
                </w14:textFill>
              </w:rPr>
              <w:t>/d</w:t>
            </w:r>
            <w:r>
              <w:rPr>
                <w:rFonts w:hint="default" w:ascii="Times New Roman" w:hAnsi="Times New Roman" w:cs="Times New Roman"/>
                <w:color w:val="000000" w:themeColor="text1"/>
                <w:sz w:val="24"/>
                <w:highlight w:val="none"/>
                <w:u w:val="single"/>
                <w14:textFill>
                  <w14:solidFill>
                    <w14:schemeClr w14:val="tx1"/>
                  </w14:solidFill>
                </w14:textFill>
              </w:rPr>
              <w:t>，主要污染物是SS。</w:t>
            </w:r>
          </w:p>
          <w:p w14:paraId="34C17015">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作业区地面冲洗废水、搅拌机冲洗废水进入废水</w:t>
            </w:r>
            <w:r>
              <w:rPr>
                <w:rFonts w:hint="default" w:ascii="Times New Roman" w:hAnsi="Times New Roman" w:cs="Times New Roman"/>
                <w:color w:val="000000" w:themeColor="text1"/>
                <w:highlight w:val="none"/>
                <w:u w:val="single"/>
                <w14:textFill>
                  <w14:solidFill>
                    <w14:schemeClr w14:val="tx1"/>
                  </w14:solidFill>
                </w14:textFill>
              </w:rPr>
              <w:t>收集沉淀</w:t>
            </w:r>
            <w:r>
              <w:rPr>
                <w:rFonts w:hint="default" w:ascii="Times New Roman" w:hAnsi="Times New Roman" w:cs="Times New Roman"/>
                <w:color w:val="000000" w:themeColor="text1"/>
                <w:highlight w:val="none"/>
                <w:u w:val="single"/>
                <w14:textFill>
                  <w14:solidFill>
                    <w14:schemeClr w14:val="tx1"/>
                  </w14:solidFill>
                </w14:textFill>
              </w:rPr>
              <w:t>池处理后</w:t>
            </w:r>
            <w:r>
              <w:rPr>
                <w:rFonts w:hint="default" w:ascii="Times New Roman" w:hAnsi="Times New Roman" w:cs="Times New Roman"/>
                <w:color w:val="000000" w:themeColor="text1"/>
                <w:highlight w:val="none"/>
                <w:u w:val="single"/>
                <w14:textFill>
                  <w14:solidFill>
                    <w14:schemeClr w14:val="tx1"/>
                  </w14:solidFill>
                </w14:textFill>
              </w:rPr>
              <w:t>上清液回用</w:t>
            </w:r>
            <w:r>
              <w:rPr>
                <w:rFonts w:hint="default" w:ascii="Times New Roman" w:hAnsi="Times New Roman" w:cs="Times New Roman"/>
                <w:color w:val="000000" w:themeColor="text1"/>
                <w:highlight w:val="none"/>
                <w:u w:val="single"/>
                <w14:textFill>
                  <w14:solidFill>
                    <w14:schemeClr w14:val="tx1"/>
                  </w14:solidFill>
                </w14:textFill>
              </w:rPr>
              <w:t>于混凝土搅拌工艺用水</w:t>
            </w:r>
            <w:r>
              <w:rPr>
                <w:rFonts w:hint="default" w:ascii="Times New Roman" w:hAnsi="Times New Roman" w:cs="Times New Roman"/>
                <w:color w:val="000000" w:themeColor="text1"/>
                <w:highlight w:val="none"/>
                <w:u w:val="single"/>
                <w14:textFill>
                  <w14:solidFill>
                    <w14:schemeClr w14:val="tx1"/>
                  </w14:solidFill>
                </w14:textFill>
              </w:rPr>
              <w:t>，不外排</w:t>
            </w:r>
            <w:r>
              <w:rPr>
                <w:rFonts w:hint="default" w:ascii="Times New Roman" w:hAnsi="Times New Roman" w:cs="Times New Roman"/>
                <w:color w:val="000000" w:themeColor="text1"/>
                <w:highlight w:val="none"/>
                <w:u w:val="single"/>
                <w14:textFill>
                  <w14:solidFill>
                    <w14:schemeClr w14:val="tx1"/>
                  </w14:solidFill>
                </w14:textFill>
              </w:rPr>
              <w:t>。</w:t>
            </w:r>
          </w:p>
          <w:p w14:paraId="7BF5AC51">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废水</w:t>
            </w:r>
            <w:r>
              <w:rPr>
                <w:rFonts w:hint="default" w:ascii="Times New Roman" w:hAnsi="Times New Roman" w:cs="Times New Roman"/>
                <w:color w:val="000000" w:themeColor="text1"/>
                <w:highlight w:val="none"/>
                <w:u w:val="single"/>
                <w14:textFill>
                  <w14:solidFill>
                    <w14:schemeClr w14:val="tx1"/>
                  </w14:solidFill>
                </w14:textFill>
              </w:rPr>
              <w:t>收集沉淀</w:t>
            </w:r>
            <w:r>
              <w:rPr>
                <w:rFonts w:hint="default" w:ascii="Times New Roman" w:hAnsi="Times New Roman" w:cs="Times New Roman"/>
                <w:color w:val="000000" w:themeColor="text1"/>
                <w:highlight w:val="none"/>
                <w:u w:val="single"/>
                <w14:textFill>
                  <w14:solidFill>
                    <w14:schemeClr w14:val="tx1"/>
                  </w14:solidFill>
                </w14:textFill>
              </w:rPr>
              <w:t>池</w:t>
            </w:r>
            <w:r>
              <w:rPr>
                <w:rFonts w:hint="default" w:ascii="Times New Roman" w:hAnsi="Times New Roman" w:cs="Times New Roman"/>
                <w:color w:val="000000" w:themeColor="text1"/>
                <w:highlight w:val="none"/>
                <w:u w:val="single"/>
                <w14:textFill>
                  <w14:solidFill>
                    <w14:schemeClr w14:val="tx1"/>
                  </w14:solidFill>
                </w14:textFill>
              </w:rPr>
              <w:t>位于湿式填充车间中部，一座，尺寸3*1.6*1.8，可满足</w:t>
            </w:r>
            <w:r>
              <w:rPr>
                <w:rFonts w:hint="default" w:ascii="Times New Roman" w:hAnsi="Times New Roman" w:cs="Times New Roman"/>
                <w:color w:val="000000" w:themeColor="text1"/>
                <w:highlight w:val="none"/>
                <w:u w:val="single"/>
                <w14:textFill>
                  <w14:solidFill>
                    <w14:schemeClr w14:val="tx1"/>
                  </w14:solidFill>
                </w14:textFill>
              </w:rPr>
              <w:t>作业区地面冲洗废水、搅拌机冲洗废水</w:t>
            </w:r>
            <w:r>
              <w:rPr>
                <w:rFonts w:hint="default" w:ascii="Times New Roman" w:hAnsi="Times New Roman" w:cs="Times New Roman"/>
                <w:color w:val="000000" w:themeColor="text1"/>
                <w:highlight w:val="none"/>
                <w:u w:val="single"/>
                <w14:textFill>
                  <w14:solidFill>
                    <w14:schemeClr w14:val="tx1"/>
                  </w14:solidFill>
                </w14:textFill>
              </w:rPr>
              <w:t>收集，措施可行。</w:t>
            </w:r>
          </w:p>
          <w:p w14:paraId="1AE0A5B3">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2、监测计划</w:t>
            </w:r>
          </w:p>
          <w:p w14:paraId="37418AB0">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根据本项目实际情况，并参照《环境监测技术规范》、</w:t>
            </w:r>
            <w:r>
              <w:rPr>
                <w:rFonts w:hint="default" w:ascii="Times New Roman" w:hAnsi="Times New Roman" w:cs="Times New Roman"/>
                <w:color w:val="000000" w:themeColor="text1"/>
                <w:kern w:val="0"/>
                <w:highlight w:val="none"/>
                <w:lang w:bidi="ar"/>
                <w14:textFill>
                  <w14:solidFill>
                    <w14:schemeClr w14:val="tx1"/>
                  </w14:solidFill>
                </w14:textFill>
              </w:rPr>
              <w:t>《排污许可证申请与核发技术规范 铁路、船舶、航空航天和其他运输设备制造业》（HJ 1124-2020）</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u w:val="single"/>
                <w14:textFill>
                  <w14:solidFill>
                    <w14:schemeClr w14:val="tx1"/>
                  </w14:solidFill>
                </w14:textFill>
              </w:rPr>
              <w:t>《排污单位自行监测技术指南 涂装》（HJ 1086-2020）</w:t>
            </w:r>
            <w:r>
              <w:rPr>
                <w:rFonts w:hint="default" w:ascii="Times New Roman" w:hAnsi="Times New Roman" w:cs="Times New Roman"/>
                <w:color w:val="000000" w:themeColor="text1"/>
                <w:highlight w:val="none"/>
                <w14:textFill>
                  <w14:solidFill>
                    <w14:schemeClr w14:val="tx1"/>
                  </w14:solidFill>
                </w14:textFill>
              </w:rPr>
              <w:t>、《工业企业土壤和地下水自行监测技术指南（试行）》（HJ1209-2021）等相关要求，</w:t>
            </w:r>
            <w:r>
              <w:rPr>
                <w:rFonts w:hint="default" w:ascii="Times New Roman" w:hAnsi="Times New Roman" w:cs="Times New Roman"/>
                <w:color w:val="000000" w:themeColor="text1"/>
                <w:highlight w:val="none"/>
                <w:u w:val="single"/>
                <w14:textFill>
                  <w14:solidFill>
                    <w14:schemeClr w14:val="tx1"/>
                  </w14:solidFill>
                </w14:textFill>
              </w:rPr>
              <w:t>本次不设置监测计划。</w:t>
            </w:r>
          </w:p>
          <w:p w14:paraId="6872406D">
            <w:pPr>
              <w:spacing w:line="360" w:lineRule="auto"/>
              <w:ind w:firstLine="482" w:firstLineChars="200"/>
              <w:rPr>
                <w:rFonts w:hint="default" w:ascii="Times New Roman" w:hAnsi="Times New Roman" w:cs="Times New Roman"/>
                <w:b/>
                <w:bCs/>
                <w:snapToGrid w:val="0"/>
                <w:color w:val="000000" w:themeColor="text1"/>
                <w:kern w:val="0"/>
                <w:sz w:val="24"/>
                <w:highlight w:val="none"/>
                <w14:textFill>
                  <w14:solidFill>
                    <w14:schemeClr w14:val="tx1"/>
                  </w14:solidFill>
                </w14:textFill>
              </w:rPr>
            </w:pPr>
            <w:r>
              <w:rPr>
                <w:rFonts w:hint="default" w:ascii="Times New Roman" w:hAnsi="Times New Roman" w:cs="Times New Roman"/>
                <w:b/>
                <w:bCs/>
                <w:snapToGrid w:val="0"/>
                <w:color w:val="000000" w:themeColor="text1"/>
                <w:kern w:val="0"/>
                <w:sz w:val="24"/>
                <w:highlight w:val="none"/>
                <w14:textFill>
                  <w14:solidFill>
                    <w14:schemeClr w14:val="tx1"/>
                  </w14:solidFill>
                </w14:textFill>
              </w:rPr>
              <w:t>三、噪声</w:t>
            </w:r>
          </w:p>
          <w:p w14:paraId="021E822C">
            <w:pPr>
              <w:adjustRightInd w:val="0"/>
              <w:snapToGrid w:val="0"/>
              <w:spacing w:line="360" w:lineRule="auto"/>
              <w:ind w:firstLine="482" w:firstLineChars="200"/>
              <w:rPr>
                <w:rFonts w:hint="default" w:ascii="Times New Roman" w:hAnsi="Times New Roman" w:cs="Times New Roman"/>
                <w:b/>
                <w:snapToGrid w:val="0"/>
                <w:color w:val="000000" w:themeColor="text1"/>
                <w:kern w:val="0"/>
                <w:sz w:val="24"/>
                <w:highlight w:val="none"/>
                <w14:textFill>
                  <w14:solidFill>
                    <w14:schemeClr w14:val="tx1"/>
                  </w14:solidFill>
                </w14:textFill>
              </w:rPr>
            </w:pPr>
            <w:r>
              <w:rPr>
                <w:rFonts w:hint="default" w:ascii="Times New Roman" w:hAnsi="Times New Roman" w:cs="Times New Roman"/>
                <w:b/>
                <w:snapToGrid w:val="0"/>
                <w:color w:val="000000" w:themeColor="text1"/>
                <w:kern w:val="0"/>
                <w:sz w:val="24"/>
                <w:highlight w:val="none"/>
                <w14:textFill>
                  <w14:solidFill>
                    <w14:schemeClr w14:val="tx1"/>
                  </w14:solidFill>
                </w14:textFill>
              </w:rPr>
              <w:t>1、源强核算</w:t>
            </w:r>
          </w:p>
          <w:p w14:paraId="67748D07">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噪声主要来源于各类切割机、焊机等生产设备产生的机械噪声，各生产设备均安置在生产车间内，通过类比调查，各噪声源噪声级在65~85dB（A），均位于室内，无室外声源，各噪声源具体源强、排放特征及拟采取的降噪措施见表4-2</w:t>
            </w:r>
            <w:r>
              <w:rPr>
                <w:rFonts w:hint="default" w:ascii="Times New Roman" w:hAnsi="Times New Roman" w:cs="Times New Roman"/>
                <w:color w:val="000000" w:themeColor="text1"/>
                <w:sz w:val="24"/>
                <w:highlight w:val="none"/>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14:paraId="7D53247A">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表4-2</w:t>
            </w:r>
            <w:r>
              <w:rPr>
                <w:rFonts w:hint="default" w:ascii="Times New Roman" w:hAnsi="Times New Roman" w:cs="Times New Roman"/>
                <w:color w:val="000000" w:themeColor="text1"/>
                <w:highlight w:val="none"/>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 xml:space="preserve">  项目噪声源强调查清单</w:t>
            </w:r>
          </w:p>
          <w:tbl>
            <w:tblPr>
              <w:tblStyle w:val="33"/>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
              <w:gridCol w:w="515"/>
              <w:gridCol w:w="452"/>
              <w:gridCol w:w="281"/>
              <w:gridCol w:w="329"/>
              <w:gridCol w:w="347"/>
              <w:gridCol w:w="310"/>
              <w:gridCol w:w="373"/>
              <w:gridCol w:w="329"/>
              <w:gridCol w:w="337"/>
              <w:gridCol w:w="325"/>
              <w:gridCol w:w="307"/>
              <w:gridCol w:w="315"/>
              <w:gridCol w:w="314"/>
              <w:gridCol w:w="341"/>
              <w:gridCol w:w="331"/>
              <w:gridCol w:w="341"/>
              <w:gridCol w:w="300"/>
              <w:gridCol w:w="314"/>
              <w:gridCol w:w="327"/>
              <w:gridCol w:w="378"/>
              <w:gridCol w:w="327"/>
              <w:gridCol w:w="288"/>
              <w:gridCol w:w="328"/>
              <w:gridCol w:w="413"/>
            </w:tblGrid>
            <w:tr w14:paraId="0352F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exact"/>
                <w:tblHeader/>
              </w:trPr>
              <w:tc>
                <w:tcPr>
                  <w:tcW w:w="139" w:type="pct"/>
                  <w:vMerge w:val="restart"/>
                  <w:vAlign w:val="center"/>
                </w:tcPr>
                <w:p w14:paraId="79AB527B">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序号</w:t>
                  </w:r>
                </w:p>
              </w:tc>
              <w:tc>
                <w:tcPr>
                  <w:tcW w:w="304" w:type="pct"/>
                  <w:vMerge w:val="restart"/>
                  <w:vAlign w:val="center"/>
                </w:tcPr>
                <w:p w14:paraId="3C8823C2">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声源名称</w:t>
                  </w:r>
                </w:p>
              </w:tc>
              <w:tc>
                <w:tcPr>
                  <w:tcW w:w="267" w:type="pct"/>
                  <w:vMerge w:val="restart"/>
                  <w:vAlign w:val="center"/>
                </w:tcPr>
                <w:p w14:paraId="4DD092AE">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声源源强</w:t>
                  </w:r>
                </w:p>
                <w:p w14:paraId="559808CF">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dB(A)</w:t>
                  </w:r>
                </w:p>
              </w:tc>
              <w:tc>
                <w:tcPr>
                  <w:tcW w:w="166" w:type="pct"/>
                  <w:vMerge w:val="restart"/>
                  <w:vAlign w:val="center"/>
                </w:tcPr>
                <w:p w14:paraId="4496C0B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声源控制措施</w:t>
                  </w:r>
                </w:p>
                <w:p w14:paraId="666D272A">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582" w:type="pct"/>
                  <w:gridSpan w:val="3"/>
                  <w:vAlign w:val="center"/>
                </w:tcPr>
                <w:p w14:paraId="048476EA">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空间相对位置/m</w:t>
                  </w:r>
                </w:p>
              </w:tc>
              <w:tc>
                <w:tcPr>
                  <w:tcW w:w="806" w:type="pct"/>
                  <w:gridSpan w:val="4"/>
                  <w:vAlign w:val="center"/>
                </w:tcPr>
                <w:p w14:paraId="68D29DC3">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距室内边界距离/m</w:t>
                  </w:r>
                </w:p>
              </w:tc>
              <w:tc>
                <w:tcPr>
                  <w:tcW w:w="754" w:type="pct"/>
                  <w:gridSpan w:val="4"/>
                  <w:vAlign w:val="center"/>
                </w:tcPr>
                <w:p w14:paraId="72FB28DD">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室内边界声级/dB(A)</w:t>
                  </w:r>
                </w:p>
              </w:tc>
              <w:tc>
                <w:tcPr>
                  <w:tcW w:w="195" w:type="pct"/>
                  <w:vMerge w:val="restart"/>
                  <w:vAlign w:val="center"/>
                </w:tcPr>
                <w:p w14:paraId="285B9D2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运行时段</w:t>
                  </w:r>
                </w:p>
                <w:p w14:paraId="5DA78B65">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757" w:type="pct"/>
                  <w:gridSpan w:val="4"/>
                  <w:vAlign w:val="center"/>
                </w:tcPr>
                <w:p w14:paraId="7F9B996C">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建筑物插入损失 / dB(A)</w:t>
                  </w:r>
                </w:p>
              </w:tc>
              <w:tc>
                <w:tcPr>
                  <w:tcW w:w="1025" w:type="pct"/>
                  <w:gridSpan w:val="5"/>
                  <w:vAlign w:val="center"/>
                </w:tcPr>
                <w:p w14:paraId="0F59CE7B">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建筑物外噪声声压级/dB(A)</w:t>
                  </w:r>
                </w:p>
              </w:tc>
            </w:tr>
            <w:tr w14:paraId="0412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blHeader/>
              </w:trPr>
              <w:tc>
                <w:tcPr>
                  <w:tcW w:w="139" w:type="pct"/>
                  <w:vMerge w:val="continue"/>
                  <w:shd w:val="clear" w:color="auto" w:fill="FFFFFF"/>
                  <w:tcMar>
                    <w:top w:w="0" w:type="dxa"/>
                    <w:left w:w="0" w:type="dxa"/>
                    <w:bottom w:w="0" w:type="dxa"/>
                    <w:right w:w="0" w:type="dxa"/>
                  </w:tcMar>
                  <w:vAlign w:val="center"/>
                </w:tcPr>
                <w:p w14:paraId="21C4C608">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304" w:type="pct"/>
                  <w:vMerge w:val="continue"/>
                  <w:shd w:val="clear" w:color="auto" w:fill="FFFFFF"/>
                  <w:tcMar>
                    <w:top w:w="0" w:type="dxa"/>
                    <w:left w:w="0" w:type="dxa"/>
                    <w:bottom w:w="0" w:type="dxa"/>
                    <w:right w:w="0" w:type="dxa"/>
                  </w:tcMar>
                  <w:vAlign w:val="center"/>
                </w:tcPr>
                <w:p w14:paraId="14EDF6DB">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267" w:type="pct"/>
                  <w:vMerge w:val="continue"/>
                  <w:shd w:val="clear" w:color="auto" w:fill="FFFFFF"/>
                  <w:tcMar>
                    <w:top w:w="0" w:type="dxa"/>
                    <w:left w:w="0" w:type="dxa"/>
                    <w:bottom w:w="0" w:type="dxa"/>
                    <w:right w:w="0" w:type="dxa"/>
                  </w:tcMar>
                  <w:vAlign w:val="center"/>
                </w:tcPr>
                <w:p w14:paraId="0823E0CA">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166" w:type="pct"/>
                  <w:vMerge w:val="continue"/>
                  <w:shd w:val="clear" w:color="auto" w:fill="FFFFFF"/>
                  <w:tcMar>
                    <w:top w:w="0" w:type="dxa"/>
                    <w:left w:w="0" w:type="dxa"/>
                    <w:bottom w:w="0" w:type="dxa"/>
                    <w:right w:w="0" w:type="dxa"/>
                  </w:tcMar>
                  <w:vAlign w:val="center"/>
                </w:tcPr>
                <w:p w14:paraId="637365D2">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5D160B38">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X</w:t>
                  </w:r>
                </w:p>
              </w:tc>
              <w:tc>
                <w:tcPr>
                  <w:tcW w:w="205" w:type="pct"/>
                  <w:shd w:val="clear" w:color="auto" w:fill="FFFFFF"/>
                  <w:tcMar>
                    <w:top w:w="0" w:type="dxa"/>
                    <w:left w:w="0" w:type="dxa"/>
                    <w:bottom w:w="0" w:type="dxa"/>
                    <w:right w:w="0" w:type="dxa"/>
                  </w:tcMar>
                  <w:vAlign w:val="center"/>
                </w:tcPr>
                <w:p w14:paraId="31B94CB2">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Y</w:t>
                  </w:r>
                </w:p>
              </w:tc>
              <w:tc>
                <w:tcPr>
                  <w:tcW w:w="183" w:type="pct"/>
                  <w:shd w:val="clear" w:color="auto" w:fill="FFFFFF"/>
                  <w:tcMar>
                    <w:top w:w="0" w:type="dxa"/>
                    <w:left w:w="0" w:type="dxa"/>
                    <w:bottom w:w="0" w:type="dxa"/>
                    <w:right w:w="0" w:type="dxa"/>
                  </w:tcMar>
                  <w:vAlign w:val="center"/>
                </w:tcPr>
                <w:p w14:paraId="2CC00AFA">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Z</w:t>
                  </w:r>
                </w:p>
              </w:tc>
              <w:tc>
                <w:tcPr>
                  <w:tcW w:w="220" w:type="pct"/>
                  <w:shd w:val="clear" w:color="auto" w:fill="FFFFFF"/>
                  <w:tcMar>
                    <w:top w:w="0" w:type="dxa"/>
                    <w:left w:w="0" w:type="dxa"/>
                    <w:bottom w:w="0" w:type="dxa"/>
                    <w:right w:w="0" w:type="dxa"/>
                  </w:tcMar>
                  <w:vAlign w:val="center"/>
                </w:tcPr>
                <w:p w14:paraId="5E71E924">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东</w:t>
                  </w:r>
                </w:p>
              </w:tc>
              <w:tc>
                <w:tcPr>
                  <w:tcW w:w="194" w:type="pct"/>
                  <w:shd w:val="clear" w:color="auto" w:fill="FFFFFF"/>
                  <w:tcMar>
                    <w:top w:w="0" w:type="dxa"/>
                    <w:left w:w="0" w:type="dxa"/>
                    <w:bottom w:w="0" w:type="dxa"/>
                    <w:right w:w="0" w:type="dxa"/>
                  </w:tcMar>
                  <w:vAlign w:val="center"/>
                </w:tcPr>
                <w:p w14:paraId="5309FF7D">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南</w:t>
                  </w:r>
                </w:p>
              </w:tc>
              <w:tc>
                <w:tcPr>
                  <w:tcW w:w="199" w:type="pct"/>
                  <w:shd w:val="clear" w:color="auto" w:fill="FFFFFF"/>
                  <w:tcMar>
                    <w:top w:w="0" w:type="dxa"/>
                    <w:left w:w="0" w:type="dxa"/>
                    <w:bottom w:w="0" w:type="dxa"/>
                    <w:right w:w="0" w:type="dxa"/>
                  </w:tcMar>
                  <w:vAlign w:val="center"/>
                </w:tcPr>
                <w:p w14:paraId="419B5074">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西</w:t>
                  </w:r>
                </w:p>
              </w:tc>
              <w:tc>
                <w:tcPr>
                  <w:tcW w:w="192" w:type="pct"/>
                  <w:shd w:val="clear" w:color="auto" w:fill="FFFFFF"/>
                  <w:tcMar>
                    <w:top w:w="0" w:type="dxa"/>
                    <w:left w:w="0" w:type="dxa"/>
                    <w:bottom w:w="0" w:type="dxa"/>
                    <w:right w:w="0" w:type="dxa"/>
                  </w:tcMar>
                  <w:vAlign w:val="center"/>
                </w:tcPr>
                <w:p w14:paraId="7E6A3725">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北</w:t>
                  </w:r>
                </w:p>
              </w:tc>
              <w:tc>
                <w:tcPr>
                  <w:tcW w:w="181" w:type="pct"/>
                  <w:shd w:val="clear" w:color="auto" w:fill="FFFFFF"/>
                  <w:tcMar>
                    <w:top w:w="0" w:type="dxa"/>
                    <w:left w:w="0" w:type="dxa"/>
                    <w:bottom w:w="0" w:type="dxa"/>
                    <w:right w:w="0" w:type="dxa"/>
                  </w:tcMar>
                  <w:vAlign w:val="center"/>
                </w:tcPr>
                <w:p w14:paraId="4BD291CF">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东</w:t>
                  </w:r>
                </w:p>
              </w:tc>
              <w:tc>
                <w:tcPr>
                  <w:tcW w:w="186" w:type="pct"/>
                  <w:shd w:val="clear" w:color="auto" w:fill="FFFFFF"/>
                  <w:tcMar>
                    <w:top w:w="0" w:type="dxa"/>
                    <w:left w:w="0" w:type="dxa"/>
                    <w:bottom w:w="0" w:type="dxa"/>
                    <w:right w:w="0" w:type="dxa"/>
                  </w:tcMar>
                  <w:vAlign w:val="center"/>
                </w:tcPr>
                <w:p w14:paraId="68308657">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南</w:t>
                  </w:r>
                </w:p>
              </w:tc>
              <w:tc>
                <w:tcPr>
                  <w:tcW w:w="185" w:type="pct"/>
                  <w:shd w:val="clear" w:color="auto" w:fill="FFFFFF"/>
                  <w:tcMar>
                    <w:top w:w="0" w:type="dxa"/>
                    <w:left w:w="0" w:type="dxa"/>
                    <w:bottom w:w="0" w:type="dxa"/>
                    <w:right w:w="0" w:type="dxa"/>
                  </w:tcMar>
                  <w:vAlign w:val="center"/>
                </w:tcPr>
                <w:p w14:paraId="289EB723">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西</w:t>
                  </w:r>
                </w:p>
              </w:tc>
              <w:tc>
                <w:tcPr>
                  <w:tcW w:w="201" w:type="pct"/>
                  <w:shd w:val="clear" w:color="auto" w:fill="FFFFFF"/>
                  <w:tcMar>
                    <w:top w:w="0" w:type="dxa"/>
                    <w:left w:w="0" w:type="dxa"/>
                    <w:bottom w:w="0" w:type="dxa"/>
                    <w:right w:w="0" w:type="dxa"/>
                  </w:tcMar>
                  <w:vAlign w:val="center"/>
                </w:tcPr>
                <w:p w14:paraId="6BE47308">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北</w:t>
                  </w:r>
                </w:p>
              </w:tc>
              <w:tc>
                <w:tcPr>
                  <w:tcW w:w="195" w:type="pct"/>
                  <w:vMerge w:val="continue"/>
                  <w:shd w:val="clear" w:color="auto" w:fill="FFFFFF"/>
                  <w:tcMar>
                    <w:top w:w="0" w:type="dxa"/>
                    <w:left w:w="0" w:type="dxa"/>
                    <w:bottom w:w="0" w:type="dxa"/>
                    <w:right w:w="0" w:type="dxa"/>
                  </w:tcMar>
                  <w:vAlign w:val="center"/>
                </w:tcPr>
                <w:p w14:paraId="361DF863">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36CEB8D2">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东</w:t>
                  </w:r>
                </w:p>
              </w:tc>
              <w:tc>
                <w:tcPr>
                  <w:tcW w:w="177" w:type="pct"/>
                  <w:shd w:val="clear" w:color="auto" w:fill="FFFFFF"/>
                  <w:tcMar>
                    <w:top w:w="0" w:type="dxa"/>
                    <w:left w:w="0" w:type="dxa"/>
                    <w:bottom w:w="0" w:type="dxa"/>
                    <w:right w:w="0" w:type="dxa"/>
                  </w:tcMar>
                  <w:vAlign w:val="center"/>
                </w:tcPr>
                <w:p w14:paraId="33951560">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南</w:t>
                  </w:r>
                </w:p>
              </w:tc>
              <w:tc>
                <w:tcPr>
                  <w:tcW w:w="185" w:type="pct"/>
                  <w:shd w:val="clear" w:color="auto" w:fill="FFFFFF"/>
                  <w:tcMar>
                    <w:top w:w="0" w:type="dxa"/>
                    <w:left w:w="0" w:type="dxa"/>
                    <w:bottom w:w="0" w:type="dxa"/>
                    <w:right w:w="0" w:type="dxa"/>
                  </w:tcMar>
                  <w:vAlign w:val="center"/>
                </w:tcPr>
                <w:p w14:paraId="7961C97B">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西</w:t>
                  </w:r>
                </w:p>
              </w:tc>
              <w:tc>
                <w:tcPr>
                  <w:tcW w:w="193" w:type="pct"/>
                  <w:shd w:val="clear" w:color="auto" w:fill="FFFFFF"/>
                  <w:tcMar>
                    <w:top w:w="0" w:type="dxa"/>
                    <w:left w:w="0" w:type="dxa"/>
                    <w:bottom w:w="0" w:type="dxa"/>
                    <w:right w:w="0" w:type="dxa"/>
                  </w:tcMar>
                  <w:vAlign w:val="center"/>
                </w:tcPr>
                <w:p w14:paraId="377B6A12">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北</w:t>
                  </w:r>
                </w:p>
              </w:tc>
              <w:tc>
                <w:tcPr>
                  <w:tcW w:w="223" w:type="pct"/>
                  <w:shd w:val="clear" w:color="auto" w:fill="FFFFFF"/>
                  <w:tcMar>
                    <w:top w:w="0" w:type="dxa"/>
                    <w:left w:w="0" w:type="dxa"/>
                    <w:bottom w:w="0" w:type="dxa"/>
                    <w:right w:w="0" w:type="dxa"/>
                  </w:tcMar>
                  <w:vAlign w:val="center"/>
                </w:tcPr>
                <w:p w14:paraId="14A10E15">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东</w:t>
                  </w:r>
                </w:p>
              </w:tc>
              <w:tc>
                <w:tcPr>
                  <w:tcW w:w="193" w:type="pct"/>
                  <w:shd w:val="clear" w:color="auto" w:fill="FFFFFF"/>
                  <w:tcMar>
                    <w:top w:w="0" w:type="dxa"/>
                    <w:left w:w="0" w:type="dxa"/>
                    <w:bottom w:w="0" w:type="dxa"/>
                    <w:right w:w="0" w:type="dxa"/>
                  </w:tcMar>
                  <w:vAlign w:val="center"/>
                </w:tcPr>
                <w:p w14:paraId="01A5F16E">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南</w:t>
                  </w:r>
                </w:p>
              </w:tc>
              <w:tc>
                <w:tcPr>
                  <w:tcW w:w="170" w:type="pct"/>
                  <w:shd w:val="clear" w:color="auto" w:fill="FFFFFF"/>
                  <w:tcMar>
                    <w:top w:w="0" w:type="dxa"/>
                    <w:left w:w="0" w:type="dxa"/>
                    <w:bottom w:w="0" w:type="dxa"/>
                    <w:right w:w="0" w:type="dxa"/>
                  </w:tcMar>
                  <w:vAlign w:val="center"/>
                </w:tcPr>
                <w:p w14:paraId="562BCC78">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西</w:t>
                  </w:r>
                </w:p>
              </w:tc>
              <w:tc>
                <w:tcPr>
                  <w:tcW w:w="193" w:type="pct"/>
                  <w:shd w:val="clear" w:color="auto" w:fill="FFFFFF"/>
                  <w:tcMar>
                    <w:top w:w="0" w:type="dxa"/>
                    <w:left w:w="0" w:type="dxa"/>
                    <w:bottom w:w="0" w:type="dxa"/>
                    <w:right w:w="0" w:type="dxa"/>
                  </w:tcMar>
                  <w:vAlign w:val="center"/>
                </w:tcPr>
                <w:p w14:paraId="69500AAF">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北</w:t>
                  </w:r>
                </w:p>
              </w:tc>
              <w:tc>
                <w:tcPr>
                  <w:tcW w:w="244" w:type="pct"/>
                  <w:shd w:val="clear" w:color="auto" w:fill="FFFFFF"/>
                  <w:tcMar>
                    <w:top w:w="0" w:type="dxa"/>
                    <w:left w:w="0" w:type="dxa"/>
                    <w:bottom w:w="0" w:type="dxa"/>
                    <w:right w:w="0" w:type="dxa"/>
                  </w:tcMar>
                  <w:vAlign w:val="center"/>
                </w:tcPr>
                <w:p w14:paraId="3EB6C0E1">
                  <w:pPr>
                    <w:kinsoku w:val="0"/>
                    <w:overflowPunct w:val="0"/>
                    <w:autoSpaceDE w:val="0"/>
                    <w:autoSpaceDN w:val="0"/>
                    <w:adjustRightInd w:val="0"/>
                    <w:snapToGrid w:val="0"/>
                    <w:jc w:val="cente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pPr>
                  <w:r>
                    <w:rPr>
                      <w:rFonts w:hint="default" w:ascii="Times New Roman" w:hAnsi="Times New Roman" w:cs="Times New Roman" w:eastAsiaTheme="minorEastAsia"/>
                      <w:bCs/>
                      <w:color w:val="000000" w:themeColor="text1"/>
                      <w:sz w:val="18"/>
                      <w:szCs w:val="18"/>
                      <w:highlight w:val="none"/>
                      <w14:textFill>
                        <w14:solidFill>
                          <w14:schemeClr w14:val="tx1"/>
                        </w14:solidFill>
                      </w14:textFill>
                    </w:rPr>
                    <w:t>建筑物外距离</w:t>
                  </w:r>
                </w:p>
              </w:tc>
            </w:tr>
            <w:tr w14:paraId="0109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4B63885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w:t>
                  </w:r>
                </w:p>
              </w:tc>
              <w:tc>
                <w:tcPr>
                  <w:tcW w:w="304" w:type="pct"/>
                  <w:shd w:val="clear" w:color="auto" w:fill="FFFFFF"/>
                  <w:tcMar>
                    <w:top w:w="0" w:type="dxa"/>
                    <w:left w:w="0" w:type="dxa"/>
                    <w:bottom w:w="0" w:type="dxa"/>
                    <w:right w:w="0" w:type="dxa"/>
                  </w:tcMar>
                  <w:vAlign w:val="center"/>
                </w:tcPr>
                <w:p w14:paraId="447385B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激光切管机</w:t>
                  </w:r>
                </w:p>
              </w:tc>
              <w:tc>
                <w:tcPr>
                  <w:tcW w:w="267" w:type="pct"/>
                  <w:shd w:val="clear" w:color="auto" w:fill="FFFFFF"/>
                  <w:tcMar>
                    <w:top w:w="0" w:type="dxa"/>
                    <w:left w:w="0" w:type="dxa"/>
                    <w:bottom w:w="0" w:type="dxa"/>
                    <w:right w:w="0" w:type="dxa"/>
                  </w:tcMar>
                  <w:vAlign w:val="center"/>
                </w:tcPr>
                <w:p w14:paraId="1EDCC7B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85</w:t>
                  </w:r>
                </w:p>
              </w:tc>
              <w:tc>
                <w:tcPr>
                  <w:tcW w:w="166" w:type="pct"/>
                  <w:vMerge w:val="restart"/>
                  <w:shd w:val="clear" w:color="auto" w:fill="FFFFFF"/>
                  <w:tcMar>
                    <w:top w:w="0" w:type="dxa"/>
                    <w:left w:w="0" w:type="dxa"/>
                    <w:bottom w:w="0" w:type="dxa"/>
                    <w:right w:w="0" w:type="dxa"/>
                  </w:tcMar>
                  <w:vAlign w:val="center"/>
                </w:tcPr>
                <w:p w14:paraId="16E5BCD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bCs/>
                      <w:color w:val="000000" w:themeColor="text1"/>
                      <w:sz w:val="18"/>
                      <w:szCs w:val="18"/>
                      <w:highlight w:val="none"/>
                      <w:lang w:val="zh-CN" w:bidi="zh-CN"/>
                      <w14:textFill>
                        <w14:solidFill>
                          <w14:schemeClr w14:val="tx1"/>
                        </w14:solidFill>
                      </w14:textFill>
                    </w:rPr>
                    <w:t>选用低噪声设备、按照减振隔声垫、通过厂房隔声</w:t>
                  </w:r>
                </w:p>
                <w:p w14:paraId="0689B73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6C471E5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21.35</w:t>
                  </w:r>
                </w:p>
              </w:tc>
              <w:tc>
                <w:tcPr>
                  <w:tcW w:w="205" w:type="pct"/>
                  <w:shd w:val="clear" w:color="auto" w:fill="FFFFFF"/>
                  <w:tcMar>
                    <w:top w:w="0" w:type="dxa"/>
                    <w:left w:w="0" w:type="dxa"/>
                    <w:bottom w:w="0" w:type="dxa"/>
                    <w:right w:w="0" w:type="dxa"/>
                  </w:tcMar>
                  <w:vAlign w:val="center"/>
                </w:tcPr>
                <w:p w14:paraId="7F63A32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14.28</w:t>
                  </w:r>
                </w:p>
              </w:tc>
              <w:tc>
                <w:tcPr>
                  <w:tcW w:w="183" w:type="pct"/>
                  <w:shd w:val="clear" w:color="auto" w:fill="FFFFFF"/>
                  <w:tcMar>
                    <w:top w:w="0" w:type="dxa"/>
                    <w:left w:w="0" w:type="dxa"/>
                    <w:bottom w:w="0" w:type="dxa"/>
                    <w:right w:w="0" w:type="dxa"/>
                  </w:tcMar>
                  <w:vAlign w:val="center"/>
                </w:tcPr>
                <w:p w14:paraId="2C770E2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6E67835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27.8</w:t>
                  </w:r>
                </w:p>
              </w:tc>
              <w:tc>
                <w:tcPr>
                  <w:tcW w:w="194" w:type="pct"/>
                  <w:shd w:val="clear" w:color="auto" w:fill="FFFFFF"/>
                  <w:tcMar>
                    <w:top w:w="0" w:type="dxa"/>
                    <w:left w:w="0" w:type="dxa"/>
                    <w:bottom w:w="0" w:type="dxa"/>
                    <w:right w:w="0" w:type="dxa"/>
                  </w:tcMar>
                  <w:vAlign w:val="center"/>
                </w:tcPr>
                <w:p w14:paraId="1426031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39.7</w:t>
                  </w:r>
                </w:p>
              </w:tc>
              <w:tc>
                <w:tcPr>
                  <w:tcW w:w="199" w:type="pct"/>
                  <w:shd w:val="clear" w:color="auto" w:fill="FFFFFF"/>
                  <w:tcMar>
                    <w:top w:w="0" w:type="dxa"/>
                    <w:left w:w="0" w:type="dxa"/>
                    <w:bottom w:w="0" w:type="dxa"/>
                    <w:right w:w="0" w:type="dxa"/>
                  </w:tcMar>
                  <w:vAlign w:val="center"/>
                </w:tcPr>
                <w:p w14:paraId="1151274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143.1</w:t>
                  </w:r>
                </w:p>
              </w:tc>
              <w:tc>
                <w:tcPr>
                  <w:tcW w:w="192" w:type="pct"/>
                  <w:shd w:val="clear" w:color="auto" w:fill="FFFFFF"/>
                  <w:tcMar>
                    <w:top w:w="0" w:type="dxa"/>
                    <w:left w:w="0" w:type="dxa"/>
                    <w:bottom w:w="0" w:type="dxa"/>
                    <w:right w:w="0" w:type="dxa"/>
                  </w:tcMar>
                  <w:vAlign w:val="center"/>
                </w:tcPr>
                <w:p w14:paraId="715BAE4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74.8</w:t>
                  </w:r>
                </w:p>
              </w:tc>
              <w:tc>
                <w:tcPr>
                  <w:tcW w:w="181" w:type="pct"/>
                  <w:shd w:val="clear" w:color="auto" w:fill="FFFFFF"/>
                  <w:tcMar>
                    <w:top w:w="0" w:type="dxa"/>
                    <w:left w:w="0" w:type="dxa"/>
                    <w:bottom w:w="0" w:type="dxa"/>
                    <w:right w:w="0" w:type="dxa"/>
                  </w:tcMar>
                  <w:vAlign w:val="center"/>
                </w:tcPr>
                <w:p w14:paraId="653A709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56.1</w:t>
                  </w:r>
                </w:p>
              </w:tc>
              <w:tc>
                <w:tcPr>
                  <w:tcW w:w="186" w:type="pct"/>
                  <w:shd w:val="clear" w:color="auto" w:fill="FFFFFF"/>
                  <w:tcMar>
                    <w:top w:w="0" w:type="dxa"/>
                    <w:left w:w="0" w:type="dxa"/>
                    <w:bottom w:w="0" w:type="dxa"/>
                    <w:right w:w="0" w:type="dxa"/>
                  </w:tcMar>
                  <w:vAlign w:val="center"/>
                </w:tcPr>
                <w:p w14:paraId="0DFE997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53.0</w:t>
                  </w:r>
                </w:p>
              </w:tc>
              <w:tc>
                <w:tcPr>
                  <w:tcW w:w="185" w:type="pct"/>
                  <w:shd w:val="clear" w:color="auto" w:fill="FFFFFF"/>
                  <w:tcMar>
                    <w:top w:w="0" w:type="dxa"/>
                    <w:left w:w="0" w:type="dxa"/>
                    <w:bottom w:w="0" w:type="dxa"/>
                    <w:right w:w="0" w:type="dxa"/>
                  </w:tcMar>
                  <w:vAlign w:val="center"/>
                </w:tcPr>
                <w:p w14:paraId="7B51413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41.9</w:t>
                  </w:r>
                </w:p>
              </w:tc>
              <w:tc>
                <w:tcPr>
                  <w:tcW w:w="201" w:type="pct"/>
                  <w:shd w:val="clear" w:color="auto" w:fill="FFFFFF"/>
                  <w:tcMar>
                    <w:top w:w="0" w:type="dxa"/>
                    <w:left w:w="0" w:type="dxa"/>
                    <w:bottom w:w="0" w:type="dxa"/>
                    <w:right w:w="0" w:type="dxa"/>
                  </w:tcMar>
                  <w:vAlign w:val="center"/>
                </w:tcPr>
                <w:p w14:paraId="773ED70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47.5</w:t>
                  </w:r>
                </w:p>
              </w:tc>
              <w:tc>
                <w:tcPr>
                  <w:tcW w:w="195" w:type="pct"/>
                  <w:vMerge w:val="restart"/>
                  <w:shd w:val="clear" w:color="auto" w:fill="FFFFFF"/>
                  <w:tcMar>
                    <w:top w:w="0" w:type="dxa"/>
                    <w:left w:w="0" w:type="dxa"/>
                    <w:bottom w:w="0" w:type="dxa"/>
                    <w:right w:w="0" w:type="dxa"/>
                  </w:tcMar>
                  <w:vAlign w:val="center"/>
                </w:tcPr>
                <w:p w14:paraId="40CC2CD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bCs/>
                      <w:color w:val="000000" w:themeColor="text1"/>
                      <w:sz w:val="18"/>
                      <w:szCs w:val="18"/>
                      <w:highlight w:val="none"/>
                      <w:lang w:val="zh-CN" w:bidi="zh-CN"/>
                      <w14:textFill>
                        <w14:solidFill>
                          <w14:schemeClr w14:val="tx1"/>
                        </w14:solidFill>
                      </w14:textFill>
                    </w:rPr>
                    <w:t>昼间及夜间</w:t>
                  </w:r>
                </w:p>
                <w:p w14:paraId="73E1135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1CAFC54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1E2FF22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3069DFA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68B6759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3ACB07B7">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36.1</w:t>
                  </w:r>
                </w:p>
              </w:tc>
              <w:tc>
                <w:tcPr>
                  <w:tcW w:w="193" w:type="pct"/>
                  <w:shd w:val="clear" w:color="auto" w:fill="FFFFFF"/>
                  <w:tcMar>
                    <w:top w:w="0" w:type="dxa"/>
                    <w:left w:w="0" w:type="dxa"/>
                    <w:bottom w:w="0" w:type="dxa"/>
                    <w:right w:w="0" w:type="dxa"/>
                  </w:tcMar>
                  <w:vAlign w:val="center"/>
                </w:tcPr>
                <w:p w14:paraId="19F3BEBD">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33</w:t>
                  </w:r>
                </w:p>
              </w:tc>
              <w:tc>
                <w:tcPr>
                  <w:tcW w:w="170" w:type="pct"/>
                  <w:shd w:val="clear" w:color="auto" w:fill="FFFFFF"/>
                  <w:tcMar>
                    <w:top w:w="0" w:type="dxa"/>
                    <w:left w:w="0" w:type="dxa"/>
                    <w:bottom w:w="0" w:type="dxa"/>
                    <w:right w:w="0" w:type="dxa"/>
                  </w:tcMar>
                  <w:vAlign w:val="center"/>
                </w:tcPr>
                <w:p w14:paraId="36E92889">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21.9</w:t>
                  </w:r>
                </w:p>
              </w:tc>
              <w:tc>
                <w:tcPr>
                  <w:tcW w:w="193" w:type="pct"/>
                  <w:shd w:val="clear" w:color="auto" w:fill="FFFFFF"/>
                  <w:tcMar>
                    <w:top w:w="0" w:type="dxa"/>
                    <w:left w:w="0" w:type="dxa"/>
                    <w:bottom w:w="0" w:type="dxa"/>
                    <w:right w:w="0" w:type="dxa"/>
                  </w:tcMar>
                  <w:vAlign w:val="center"/>
                </w:tcPr>
                <w:p w14:paraId="29C4DB60">
                  <w:pPr>
                    <w:widowControl/>
                    <w:autoSpaceDE w:val="0"/>
                    <w:autoSpaceDN w:val="0"/>
                    <w:jc w:val="center"/>
                    <w:textAlignment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27.5</w:t>
                  </w:r>
                </w:p>
              </w:tc>
              <w:tc>
                <w:tcPr>
                  <w:tcW w:w="244" w:type="pct"/>
                  <w:shd w:val="clear" w:color="auto" w:fill="FFFFFF"/>
                  <w:tcMar>
                    <w:top w:w="0" w:type="dxa"/>
                    <w:left w:w="0" w:type="dxa"/>
                    <w:bottom w:w="0" w:type="dxa"/>
                    <w:right w:w="0" w:type="dxa"/>
                  </w:tcMar>
                  <w:vAlign w:val="center"/>
                </w:tcPr>
                <w:p w14:paraId="0020AFE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2A294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6678251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w:t>
                  </w:r>
                </w:p>
              </w:tc>
              <w:tc>
                <w:tcPr>
                  <w:tcW w:w="304" w:type="pct"/>
                  <w:shd w:val="clear" w:color="auto" w:fill="FFFFFF"/>
                  <w:tcMar>
                    <w:top w:w="0" w:type="dxa"/>
                    <w:left w:w="0" w:type="dxa"/>
                    <w:bottom w:w="0" w:type="dxa"/>
                    <w:right w:w="0" w:type="dxa"/>
                  </w:tcMar>
                  <w:vAlign w:val="center"/>
                </w:tcPr>
                <w:p w14:paraId="2A35015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卷板机</w:t>
                  </w:r>
                </w:p>
              </w:tc>
              <w:tc>
                <w:tcPr>
                  <w:tcW w:w="267" w:type="pct"/>
                  <w:shd w:val="clear" w:color="auto" w:fill="FFFFFF"/>
                  <w:tcMar>
                    <w:top w:w="0" w:type="dxa"/>
                    <w:left w:w="0" w:type="dxa"/>
                    <w:bottom w:w="0" w:type="dxa"/>
                    <w:right w:w="0" w:type="dxa"/>
                  </w:tcMar>
                  <w:vAlign w:val="center"/>
                </w:tcPr>
                <w:p w14:paraId="4E808AE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80</w:t>
                  </w:r>
                </w:p>
              </w:tc>
              <w:tc>
                <w:tcPr>
                  <w:tcW w:w="166" w:type="pct"/>
                  <w:vMerge w:val="continue"/>
                  <w:shd w:val="clear" w:color="auto" w:fill="FFFFFF"/>
                  <w:tcMar>
                    <w:top w:w="0" w:type="dxa"/>
                    <w:left w:w="0" w:type="dxa"/>
                    <w:bottom w:w="0" w:type="dxa"/>
                    <w:right w:w="0" w:type="dxa"/>
                  </w:tcMar>
                  <w:vAlign w:val="center"/>
                </w:tcPr>
                <w:p w14:paraId="345D407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787E134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-21.96</w:t>
                  </w:r>
                </w:p>
              </w:tc>
              <w:tc>
                <w:tcPr>
                  <w:tcW w:w="205" w:type="pct"/>
                  <w:shd w:val="clear" w:color="auto" w:fill="FFFFFF"/>
                  <w:tcMar>
                    <w:top w:w="0" w:type="dxa"/>
                    <w:left w:w="0" w:type="dxa"/>
                    <w:bottom w:w="0" w:type="dxa"/>
                    <w:right w:w="0" w:type="dxa"/>
                  </w:tcMar>
                  <w:vAlign w:val="center"/>
                </w:tcPr>
                <w:p w14:paraId="17B7728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23.56</w:t>
                  </w:r>
                </w:p>
              </w:tc>
              <w:tc>
                <w:tcPr>
                  <w:tcW w:w="183" w:type="pct"/>
                  <w:shd w:val="clear" w:color="auto" w:fill="FFFFFF"/>
                  <w:tcMar>
                    <w:top w:w="0" w:type="dxa"/>
                    <w:left w:w="0" w:type="dxa"/>
                    <w:bottom w:w="0" w:type="dxa"/>
                    <w:right w:w="0" w:type="dxa"/>
                  </w:tcMar>
                  <w:vAlign w:val="center"/>
                </w:tcPr>
                <w:p w14:paraId="73B15AC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75F3F41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63.4</w:t>
                  </w:r>
                </w:p>
              </w:tc>
              <w:tc>
                <w:tcPr>
                  <w:tcW w:w="194" w:type="pct"/>
                  <w:shd w:val="clear" w:color="auto" w:fill="FFFFFF"/>
                  <w:tcMar>
                    <w:top w:w="0" w:type="dxa"/>
                    <w:left w:w="0" w:type="dxa"/>
                    <w:bottom w:w="0" w:type="dxa"/>
                    <w:right w:w="0" w:type="dxa"/>
                  </w:tcMar>
                  <w:vAlign w:val="center"/>
                </w:tcPr>
                <w:p w14:paraId="2AE8A70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66.3</w:t>
                  </w:r>
                </w:p>
              </w:tc>
              <w:tc>
                <w:tcPr>
                  <w:tcW w:w="199" w:type="pct"/>
                  <w:shd w:val="clear" w:color="auto" w:fill="FFFFFF"/>
                  <w:tcMar>
                    <w:top w:w="0" w:type="dxa"/>
                    <w:left w:w="0" w:type="dxa"/>
                    <w:bottom w:w="0" w:type="dxa"/>
                    <w:right w:w="0" w:type="dxa"/>
                  </w:tcMar>
                  <w:vAlign w:val="center"/>
                </w:tcPr>
                <w:p w14:paraId="3A5C445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107.5</w:t>
                  </w:r>
                </w:p>
              </w:tc>
              <w:tc>
                <w:tcPr>
                  <w:tcW w:w="192" w:type="pct"/>
                  <w:shd w:val="clear" w:color="auto" w:fill="FFFFFF"/>
                  <w:tcMar>
                    <w:top w:w="0" w:type="dxa"/>
                    <w:left w:w="0" w:type="dxa"/>
                    <w:bottom w:w="0" w:type="dxa"/>
                    <w:right w:w="0" w:type="dxa"/>
                  </w:tcMar>
                  <w:vAlign w:val="center"/>
                </w:tcPr>
                <w:p w14:paraId="00B7333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40.2</w:t>
                  </w:r>
                </w:p>
              </w:tc>
              <w:tc>
                <w:tcPr>
                  <w:tcW w:w="181" w:type="pct"/>
                  <w:shd w:val="clear" w:color="auto" w:fill="FFFFFF"/>
                  <w:tcMar>
                    <w:top w:w="0" w:type="dxa"/>
                    <w:left w:w="0" w:type="dxa"/>
                    <w:bottom w:w="0" w:type="dxa"/>
                    <w:right w:w="0" w:type="dxa"/>
                  </w:tcMar>
                  <w:vAlign w:val="center"/>
                </w:tcPr>
                <w:p w14:paraId="0F34D53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44.0</w:t>
                  </w:r>
                </w:p>
              </w:tc>
              <w:tc>
                <w:tcPr>
                  <w:tcW w:w="186" w:type="pct"/>
                  <w:shd w:val="clear" w:color="auto" w:fill="FFFFFF"/>
                  <w:tcMar>
                    <w:top w:w="0" w:type="dxa"/>
                    <w:left w:w="0" w:type="dxa"/>
                    <w:bottom w:w="0" w:type="dxa"/>
                    <w:right w:w="0" w:type="dxa"/>
                  </w:tcMar>
                  <w:vAlign w:val="center"/>
                </w:tcPr>
                <w:p w14:paraId="78E4921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43.6</w:t>
                  </w:r>
                </w:p>
              </w:tc>
              <w:tc>
                <w:tcPr>
                  <w:tcW w:w="185" w:type="pct"/>
                  <w:shd w:val="clear" w:color="auto" w:fill="FFFFFF"/>
                  <w:tcMar>
                    <w:top w:w="0" w:type="dxa"/>
                    <w:left w:w="0" w:type="dxa"/>
                    <w:bottom w:w="0" w:type="dxa"/>
                    <w:right w:w="0" w:type="dxa"/>
                  </w:tcMar>
                  <w:vAlign w:val="center"/>
                </w:tcPr>
                <w:p w14:paraId="73C4A1E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39.4</w:t>
                  </w:r>
                </w:p>
              </w:tc>
              <w:tc>
                <w:tcPr>
                  <w:tcW w:w="201" w:type="pct"/>
                  <w:shd w:val="clear" w:color="auto" w:fill="FFFFFF"/>
                  <w:tcMar>
                    <w:top w:w="0" w:type="dxa"/>
                    <w:left w:w="0" w:type="dxa"/>
                    <w:bottom w:w="0" w:type="dxa"/>
                    <w:right w:w="0" w:type="dxa"/>
                  </w:tcMar>
                  <w:vAlign w:val="center"/>
                </w:tcPr>
                <w:p w14:paraId="5983152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47.8</w:t>
                  </w:r>
                </w:p>
              </w:tc>
              <w:tc>
                <w:tcPr>
                  <w:tcW w:w="195" w:type="pct"/>
                  <w:vMerge w:val="continue"/>
                  <w:shd w:val="clear" w:color="auto" w:fill="FFFFFF"/>
                  <w:tcMar>
                    <w:top w:w="0" w:type="dxa"/>
                    <w:left w:w="0" w:type="dxa"/>
                    <w:bottom w:w="0" w:type="dxa"/>
                    <w:right w:w="0" w:type="dxa"/>
                  </w:tcMar>
                  <w:vAlign w:val="center"/>
                </w:tcPr>
                <w:p w14:paraId="14D00A2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0C21895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7D9E203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36471A3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60C4FB2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7FE40532">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24</w:t>
                  </w:r>
                </w:p>
              </w:tc>
              <w:tc>
                <w:tcPr>
                  <w:tcW w:w="193" w:type="pct"/>
                  <w:shd w:val="clear" w:color="auto" w:fill="FFFFFF"/>
                  <w:tcMar>
                    <w:top w:w="0" w:type="dxa"/>
                    <w:left w:w="0" w:type="dxa"/>
                    <w:bottom w:w="0" w:type="dxa"/>
                    <w:right w:w="0" w:type="dxa"/>
                  </w:tcMar>
                  <w:vAlign w:val="center"/>
                </w:tcPr>
                <w:p w14:paraId="69A83CEF">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23.6</w:t>
                  </w:r>
                </w:p>
              </w:tc>
              <w:tc>
                <w:tcPr>
                  <w:tcW w:w="170" w:type="pct"/>
                  <w:shd w:val="clear" w:color="auto" w:fill="FFFFFF"/>
                  <w:tcMar>
                    <w:top w:w="0" w:type="dxa"/>
                    <w:left w:w="0" w:type="dxa"/>
                    <w:bottom w:w="0" w:type="dxa"/>
                    <w:right w:w="0" w:type="dxa"/>
                  </w:tcMar>
                  <w:vAlign w:val="center"/>
                </w:tcPr>
                <w:p w14:paraId="76367AB5">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19.4</w:t>
                  </w:r>
                </w:p>
              </w:tc>
              <w:tc>
                <w:tcPr>
                  <w:tcW w:w="193" w:type="pct"/>
                  <w:shd w:val="clear" w:color="auto" w:fill="FFFFFF"/>
                  <w:tcMar>
                    <w:top w:w="0" w:type="dxa"/>
                    <w:left w:w="0" w:type="dxa"/>
                    <w:bottom w:w="0" w:type="dxa"/>
                    <w:right w:w="0" w:type="dxa"/>
                  </w:tcMar>
                  <w:vAlign w:val="center"/>
                </w:tcPr>
                <w:p w14:paraId="230E6273">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27.8</w:t>
                  </w:r>
                </w:p>
              </w:tc>
              <w:tc>
                <w:tcPr>
                  <w:tcW w:w="244" w:type="pct"/>
                  <w:shd w:val="clear" w:color="auto" w:fill="FFFFFF"/>
                  <w:tcMar>
                    <w:top w:w="0" w:type="dxa"/>
                    <w:left w:w="0" w:type="dxa"/>
                    <w:bottom w:w="0" w:type="dxa"/>
                    <w:right w:w="0" w:type="dxa"/>
                  </w:tcMar>
                  <w:vAlign w:val="center"/>
                </w:tcPr>
                <w:p w14:paraId="79E3907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24AC6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0CB7039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w:t>
                  </w:r>
                </w:p>
              </w:tc>
              <w:tc>
                <w:tcPr>
                  <w:tcW w:w="304" w:type="pct"/>
                  <w:shd w:val="clear" w:color="auto" w:fill="FFFFFF"/>
                  <w:tcMar>
                    <w:top w:w="0" w:type="dxa"/>
                    <w:left w:w="0" w:type="dxa"/>
                    <w:bottom w:w="0" w:type="dxa"/>
                    <w:right w:w="0" w:type="dxa"/>
                  </w:tcMar>
                  <w:vAlign w:val="center"/>
                </w:tcPr>
                <w:p w14:paraId="6410851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焊机</w:t>
                  </w:r>
                </w:p>
              </w:tc>
              <w:tc>
                <w:tcPr>
                  <w:tcW w:w="267" w:type="pct"/>
                  <w:shd w:val="clear" w:color="auto" w:fill="FFFFFF"/>
                  <w:tcMar>
                    <w:top w:w="0" w:type="dxa"/>
                    <w:left w:w="0" w:type="dxa"/>
                    <w:bottom w:w="0" w:type="dxa"/>
                    <w:right w:w="0" w:type="dxa"/>
                  </w:tcMar>
                  <w:vAlign w:val="center"/>
                </w:tcPr>
                <w:p w14:paraId="68CE1AF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74</w:t>
                  </w:r>
                </w:p>
              </w:tc>
              <w:tc>
                <w:tcPr>
                  <w:tcW w:w="166" w:type="pct"/>
                  <w:vMerge w:val="continue"/>
                  <w:shd w:val="clear" w:color="auto" w:fill="FFFFFF"/>
                  <w:tcMar>
                    <w:top w:w="0" w:type="dxa"/>
                    <w:left w:w="0" w:type="dxa"/>
                    <w:bottom w:w="0" w:type="dxa"/>
                    <w:right w:w="0" w:type="dxa"/>
                  </w:tcMar>
                  <w:vAlign w:val="center"/>
                </w:tcPr>
                <w:p w14:paraId="45ED799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425EFD2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-27.63</w:t>
                  </w:r>
                </w:p>
              </w:tc>
              <w:tc>
                <w:tcPr>
                  <w:tcW w:w="205" w:type="pct"/>
                  <w:shd w:val="clear" w:color="auto" w:fill="FFFFFF"/>
                  <w:tcMar>
                    <w:top w:w="0" w:type="dxa"/>
                    <w:left w:w="0" w:type="dxa"/>
                    <w:bottom w:w="0" w:type="dxa"/>
                    <w:right w:w="0" w:type="dxa"/>
                  </w:tcMar>
                  <w:vAlign w:val="center"/>
                </w:tcPr>
                <w:p w14:paraId="5122DD2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-13.04</w:t>
                  </w:r>
                </w:p>
              </w:tc>
              <w:tc>
                <w:tcPr>
                  <w:tcW w:w="183" w:type="pct"/>
                  <w:shd w:val="clear" w:color="auto" w:fill="FFFFFF"/>
                  <w:tcMar>
                    <w:top w:w="0" w:type="dxa"/>
                    <w:left w:w="0" w:type="dxa"/>
                    <w:bottom w:w="0" w:type="dxa"/>
                    <w:right w:w="0" w:type="dxa"/>
                  </w:tcMar>
                  <w:vAlign w:val="center"/>
                </w:tcPr>
                <w:p w14:paraId="418B9B3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23CDF8E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83.9</w:t>
                  </w:r>
                </w:p>
              </w:tc>
              <w:tc>
                <w:tcPr>
                  <w:tcW w:w="194" w:type="pct"/>
                  <w:shd w:val="clear" w:color="auto" w:fill="FFFFFF"/>
                  <w:tcMar>
                    <w:top w:w="0" w:type="dxa"/>
                    <w:left w:w="0" w:type="dxa"/>
                    <w:bottom w:w="0" w:type="dxa"/>
                    <w:right w:w="0" w:type="dxa"/>
                  </w:tcMar>
                  <w:vAlign w:val="center"/>
                </w:tcPr>
                <w:p w14:paraId="2FD275A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35.8</w:t>
                  </w:r>
                </w:p>
              </w:tc>
              <w:tc>
                <w:tcPr>
                  <w:tcW w:w="199" w:type="pct"/>
                  <w:shd w:val="clear" w:color="auto" w:fill="FFFFFF"/>
                  <w:tcMar>
                    <w:top w:w="0" w:type="dxa"/>
                    <w:left w:w="0" w:type="dxa"/>
                    <w:bottom w:w="0" w:type="dxa"/>
                    <w:right w:w="0" w:type="dxa"/>
                  </w:tcMar>
                  <w:vAlign w:val="center"/>
                </w:tcPr>
                <w:p w14:paraId="37F9842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86.3</w:t>
                  </w:r>
                </w:p>
              </w:tc>
              <w:tc>
                <w:tcPr>
                  <w:tcW w:w="192" w:type="pct"/>
                  <w:shd w:val="clear" w:color="auto" w:fill="FFFFFF"/>
                  <w:tcMar>
                    <w:top w:w="0" w:type="dxa"/>
                    <w:left w:w="0" w:type="dxa"/>
                    <w:bottom w:w="0" w:type="dxa"/>
                    <w:right w:w="0" w:type="dxa"/>
                  </w:tcMar>
                  <w:vAlign w:val="center"/>
                </w:tcPr>
                <w:p w14:paraId="7A4FB43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75.0</w:t>
                  </w:r>
                </w:p>
              </w:tc>
              <w:tc>
                <w:tcPr>
                  <w:tcW w:w="181" w:type="pct"/>
                  <w:shd w:val="clear" w:color="auto" w:fill="FFFFFF"/>
                  <w:tcMar>
                    <w:top w:w="0" w:type="dxa"/>
                    <w:left w:w="0" w:type="dxa"/>
                    <w:bottom w:w="0" w:type="dxa"/>
                    <w:right w:w="0" w:type="dxa"/>
                  </w:tcMar>
                  <w:vAlign w:val="center"/>
                </w:tcPr>
                <w:p w14:paraId="5EC293D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35.5</w:t>
                  </w:r>
                </w:p>
              </w:tc>
              <w:tc>
                <w:tcPr>
                  <w:tcW w:w="186" w:type="pct"/>
                  <w:shd w:val="clear" w:color="auto" w:fill="FFFFFF"/>
                  <w:tcMar>
                    <w:top w:w="0" w:type="dxa"/>
                    <w:left w:w="0" w:type="dxa"/>
                    <w:bottom w:w="0" w:type="dxa"/>
                    <w:right w:w="0" w:type="dxa"/>
                  </w:tcMar>
                  <w:vAlign w:val="center"/>
                </w:tcPr>
                <w:p w14:paraId="69ADF5A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42.9</w:t>
                  </w:r>
                </w:p>
              </w:tc>
              <w:tc>
                <w:tcPr>
                  <w:tcW w:w="185" w:type="pct"/>
                  <w:shd w:val="clear" w:color="auto" w:fill="FFFFFF"/>
                  <w:tcMar>
                    <w:top w:w="0" w:type="dxa"/>
                    <w:left w:w="0" w:type="dxa"/>
                    <w:bottom w:w="0" w:type="dxa"/>
                    <w:right w:w="0" w:type="dxa"/>
                  </w:tcMar>
                  <w:vAlign w:val="center"/>
                </w:tcPr>
                <w:p w14:paraId="51B6902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35.3</w:t>
                  </w:r>
                </w:p>
              </w:tc>
              <w:tc>
                <w:tcPr>
                  <w:tcW w:w="201" w:type="pct"/>
                  <w:shd w:val="clear" w:color="auto" w:fill="FFFFFF"/>
                  <w:tcMar>
                    <w:top w:w="0" w:type="dxa"/>
                    <w:left w:w="0" w:type="dxa"/>
                    <w:bottom w:w="0" w:type="dxa"/>
                    <w:right w:w="0" w:type="dxa"/>
                  </w:tcMar>
                  <w:vAlign w:val="center"/>
                </w:tcPr>
                <w:p w14:paraId="63C57C7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36.5</w:t>
                  </w:r>
                </w:p>
              </w:tc>
              <w:tc>
                <w:tcPr>
                  <w:tcW w:w="195" w:type="pct"/>
                  <w:vMerge w:val="continue"/>
                  <w:shd w:val="clear" w:color="auto" w:fill="FFFFFF"/>
                  <w:tcMar>
                    <w:top w:w="0" w:type="dxa"/>
                    <w:left w:w="0" w:type="dxa"/>
                    <w:bottom w:w="0" w:type="dxa"/>
                    <w:right w:w="0" w:type="dxa"/>
                  </w:tcMar>
                  <w:vAlign w:val="center"/>
                </w:tcPr>
                <w:p w14:paraId="2A43C51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04EC7BC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7F55C0F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17D8694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644B560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393136B2">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15.5</w:t>
                  </w:r>
                </w:p>
              </w:tc>
              <w:tc>
                <w:tcPr>
                  <w:tcW w:w="193" w:type="pct"/>
                  <w:shd w:val="clear" w:color="auto" w:fill="FFFFFF"/>
                  <w:tcMar>
                    <w:top w:w="0" w:type="dxa"/>
                    <w:left w:w="0" w:type="dxa"/>
                    <w:bottom w:w="0" w:type="dxa"/>
                    <w:right w:w="0" w:type="dxa"/>
                  </w:tcMar>
                  <w:vAlign w:val="center"/>
                </w:tcPr>
                <w:p w14:paraId="300C1BD0">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22.9</w:t>
                  </w:r>
                </w:p>
              </w:tc>
              <w:tc>
                <w:tcPr>
                  <w:tcW w:w="170" w:type="pct"/>
                  <w:shd w:val="clear" w:color="auto" w:fill="FFFFFF"/>
                  <w:tcMar>
                    <w:top w:w="0" w:type="dxa"/>
                    <w:left w:w="0" w:type="dxa"/>
                    <w:bottom w:w="0" w:type="dxa"/>
                    <w:right w:w="0" w:type="dxa"/>
                  </w:tcMar>
                  <w:vAlign w:val="center"/>
                </w:tcPr>
                <w:p w14:paraId="5B93C989">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15.3</w:t>
                  </w:r>
                </w:p>
              </w:tc>
              <w:tc>
                <w:tcPr>
                  <w:tcW w:w="193" w:type="pct"/>
                  <w:shd w:val="clear" w:color="auto" w:fill="FFFFFF"/>
                  <w:tcMar>
                    <w:top w:w="0" w:type="dxa"/>
                    <w:left w:w="0" w:type="dxa"/>
                    <w:bottom w:w="0" w:type="dxa"/>
                    <w:right w:w="0" w:type="dxa"/>
                  </w:tcMar>
                  <w:vAlign w:val="center"/>
                </w:tcPr>
                <w:p w14:paraId="4FA777D7">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16.5</w:t>
                  </w:r>
                </w:p>
              </w:tc>
              <w:tc>
                <w:tcPr>
                  <w:tcW w:w="244" w:type="pct"/>
                  <w:shd w:val="clear" w:color="auto" w:fill="FFFFFF"/>
                  <w:tcMar>
                    <w:top w:w="0" w:type="dxa"/>
                    <w:left w:w="0" w:type="dxa"/>
                    <w:bottom w:w="0" w:type="dxa"/>
                    <w:right w:w="0" w:type="dxa"/>
                  </w:tcMar>
                  <w:vAlign w:val="center"/>
                </w:tcPr>
                <w:p w14:paraId="66AD629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74523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05C02B4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4</w:t>
                  </w:r>
                </w:p>
              </w:tc>
              <w:tc>
                <w:tcPr>
                  <w:tcW w:w="304" w:type="pct"/>
                  <w:shd w:val="clear" w:color="auto" w:fill="FFFFFF"/>
                  <w:tcMar>
                    <w:top w:w="0" w:type="dxa"/>
                    <w:left w:w="0" w:type="dxa"/>
                    <w:bottom w:w="0" w:type="dxa"/>
                    <w:right w:w="0" w:type="dxa"/>
                  </w:tcMar>
                  <w:vAlign w:val="center"/>
                </w:tcPr>
                <w:p w14:paraId="384956E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打磨机</w:t>
                  </w:r>
                </w:p>
              </w:tc>
              <w:tc>
                <w:tcPr>
                  <w:tcW w:w="267" w:type="pct"/>
                  <w:shd w:val="clear" w:color="auto" w:fill="FFFFFF"/>
                  <w:tcMar>
                    <w:top w:w="0" w:type="dxa"/>
                    <w:left w:w="0" w:type="dxa"/>
                    <w:bottom w:w="0" w:type="dxa"/>
                    <w:right w:w="0" w:type="dxa"/>
                  </w:tcMar>
                  <w:vAlign w:val="center"/>
                </w:tcPr>
                <w:p w14:paraId="70989FE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83</w:t>
                  </w:r>
                </w:p>
              </w:tc>
              <w:tc>
                <w:tcPr>
                  <w:tcW w:w="166" w:type="pct"/>
                  <w:vMerge w:val="continue"/>
                  <w:shd w:val="clear" w:color="auto" w:fill="FFFFFF"/>
                  <w:tcMar>
                    <w:top w:w="0" w:type="dxa"/>
                    <w:left w:w="0" w:type="dxa"/>
                    <w:bottom w:w="0" w:type="dxa"/>
                    <w:right w:w="0" w:type="dxa"/>
                  </w:tcMar>
                  <w:vAlign w:val="center"/>
                </w:tcPr>
                <w:p w14:paraId="2A3B710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456B189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1.76</w:t>
                  </w:r>
                </w:p>
              </w:tc>
              <w:tc>
                <w:tcPr>
                  <w:tcW w:w="205" w:type="pct"/>
                  <w:shd w:val="clear" w:color="auto" w:fill="FFFFFF"/>
                  <w:tcMar>
                    <w:top w:w="0" w:type="dxa"/>
                    <w:left w:w="0" w:type="dxa"/>
                    <w:bottom w:w="0" w:type="dxa"/>
                    <w:right w:w="0" w:type="dxa"/>
                  </w:tcMar>
                  <w:vAlign w:val="center"/>
                </w:tcPr>
                <w:p w14:paraId="389B41E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w:t>
                  </w:r>
                  <w:r>
                    <w:rPr>
                      <w:rFonts w:hint="default" w:ascii="Times New Roman" w:hAnsi="Times New Roman" w:cs="Times New Roman"/>
                      <w:bCs/>
                      <w:color w:val="000000" w:themeColor="text1"/>
                      <w:sz w:val="18"/>
                      <w:szCs w:val="18"/>
                      <w:highlight w:val="none"/>
                      <w14:textFill>
                        <w14:solidFill>
                          <w14:schemeClr w14:val="tx1"/>
                        </w14:solidFill>
                      </w14:textFill>
                    </w:rPr>
                    <w:t>28.51</w:t>
                  </w:r>
                </w:p>
              </w:tc>
              <w:tc>
                <w:tcPr>
                  <w:tcW w:w="183" w:type="pct"/>
                  <w:shd w:val="clear" w:color="auto" w:fill="FFFFFF"/>
                  <w:tcMar>
                    <w:top w:w="0" w:type="dxa"/>
                    <w:left w:w="0" w:type="dxa"/>
                    <w:bottom w:w="0" w:type="dxa"/>
                    <w:right w:w="0" w:type="dxa"/>
                  </w:tcMar>
                  <w:vAlign w:val="center"/>
                </w:tcPr>
                <w:p w14:paraId="373C2E1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1AC0BC7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63.5</w:t>
                  </w:r>
                </w:p>
              </w:tc>
              <w:tc>
                <w:tcPr>
                  <w:tcW w:w="194" w:type="pct"/>
                  <w:shd w:val="clear" w:color="auto" w:fill="FFFFFF"/>
                  <w:tcMar>
                    <w:top w:w="0" w:type="dxa"/>
                    <w:left w:w="0" w:type="dxa"/>
                    <w:bottom w:w="0" w:type="dxa"/>
                    <w:right w:w="0" w:type="dxa"/>
                  </w:tcMar>
                  <w:vAlign w:val="center"/>
                </w:tcPr>
                <w:p w14:paraId="6F09E23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9.5</w:t>
                  </w:r>
                </w:p>
              </w:tc>
              <w:tc>
                <w:tcPr>
                  <w:tcW w:w="199" w:type="pct"/>
                  <w:shd w:val="clear" w:color="auto" w:fill="FFFFFF"/>
                  <w:tcMar>
                    <w:top w:w="0" w:type="dxa"/>
                    <w:left w:w="0" w:type="dxa"/>
                    <w:bottom w:w="0" w:type="dxa"/>
                    <w:right w:w="0" w:type="dxa"/>
                  </w:tcMar>
                  <w:vAlign w:val="center"/>
                </w:tcPr>
                <w:p w14:paraId="693917E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105.9</w:t>
                  </w:r>
                </w:p>
              </w:tc>
              <w:tc>
                <w:tcPr>
                  <w:tcW w:w="192" w:type="pct"/>
                  <w:shd w:val="clear" w:color="auto" w:fill="FFFFFF"/>
                  <w:tcMar>
                    <w:top w:w="0" w:type="dxa"/>
                    <w:left w:w="0" w:type="dxa"/>
                    <w:bottom w:w="0" w:type="dxa"/>
                    <w:right w:w="0" w:type="dxa"/>
                  </w:tcMar>
                  <w:vAlign w:val="center"/>
                </w:tcPr>
                <w:p w14:paraId="4E57A9F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102.1</w:t>
                  </w:r>
                </w:p>
              </w:tc>
              <w:tc>
                <w:tcPr>
                  <w:tcW w:w="181" w:type="pct"/>
                  <w:shd w:val="clear" w:color="auto" w:fill="FFFFFF"/>
                  <w:tcMar>
                    <w:top w:w="0" w:type="dxa"/>
                    <w:left w:w="0" w:type="dxa"/>
                    <w:bottom w:w="0" w:type="dxa"/>
                    <w:right w:w="0" w:type="dxa"/>
                  </w:tcMar>
                  <w:vAlign w:val="center"/>
                </w:tcPr>
                <w:p w14:paraId="141FBAB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46.9</w:t>
                  </w:r>
                </w:p>
              </w:tc>
              <w:tc>
                <w:tcPr>
                  <w:tcW w:w="186" w:type="pct"/>
                  <w:shd w:val="clear" w:color="auto" w:fill="FFFFFF"/>
                  <w:tcMar>
                    <w:top w:w="0" w:type="dxa"/>
                    <w:left w:w="0" w:type="dxa"/>
                    <w:bottom w:w="0" w:type="dxa"/>
                    <w:right w:w="0" w:type="dxa"/>
                  </w:tcMar>
                  <w:vAlign w:val="center"/>
                </w:tcPr>
                <w:p w14:paraId="204B372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63.4</w:t>
                  </w:r>
                </w:p>
              </w:tc>
              <w:tc>
                <w:tcPr>
                  <w:tcW w:w="185" w:type="pct"/>
                  <w:shd w:val="clear" w:color="auto" w:fill="FFFFFF"/>
                  <w:tcMar>
                    <w:top w:w="0" w:type="dxa"/>
                    <w:left w:w="0" w:type="dxa"/>
                    <w:bottom w:w="0" w:type="dxa"/>
                    <w:right w:w="0" w:type="dxa"/>
                  </w:tcMar>
                  <w:vAlign w:val="center"/>
                </w:tcPr>
                <w:p w14:paraId="0090AFB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42.5</w:t>
                  </w:r>
                </w:p>
              </w:tc>
              <w:tc>
                <w:tcPr>
                  <w:tcW w:w="201" w:type="pct"/>
                  <w:shd w:val="clear" w:color="auto" w:fill="FFFFFF"/>
                  <w:tcMar>
                    <w:top w:w="0" w:type="dxa"/>
                    <w:left w:w="0" w:type="dxa"/>
                    <w:bottom w:w="0" w:type="dxa"/>
                    <w:right w:w="0" w:type="dxa"/>
                  </w:tcMar>
                  <w:vAlign w:val="center"/>
                </w:tcPr>
                <w:p w14:paraId="49B298D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42.8</w:t>
                  </w:r>
                </w:p>
              </w:tc>
              <w:tc>
                <w:tcPr>
                  <w:tcW w:w="195" w:type="pct"/>
                  <w:vMerge w:val="continue"/>
                  <w:shd w:val="clear" w:color="auto" w:fill="FFFFFF"/>
                  <w:tcMar>
                    <w:top w:w="0" w:type="dxa"/>
                    <w:left w:w="0" w:type="dxa"/>
                    <w:bottom w:w="0" w:type="dxa"/>
                    <w:right w:w="0" w:type="dxa"/>
                  </w:tcMar>
                  <w:vAlign w:val="center"/>
                </w:tcPr>
                <w:p w14:paraId="639E25E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4521044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1EAD1CB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7232551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0FF651C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77AD2393">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26.9</w:t>
                  </w:r>
                </w:p>
              </w:tc>
              <w:tc>
                <w:tcPr>
                  <w:tcW w:w="193" w:type="pct"/>
                  <w:shd w:val="clear" w:color="auto" w:fill="FFFFFF"/>
                  <w:tcMar>
                    <w:top w:w="0" w:type="dxa"/>
                    <w:left w:w="0" w:type="dxa"/>
                    <w:bottom w:w="0" w:type="dxa"/>
                    <w:right w:w="0" w:type="dxa"/>
                  </w:tcMar>
                  <w:vAlign w:val="center"/>
                </w:tcPr>
                <w:p w14:paraId="483AB324">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43.4</w:t>
                  </w:r>
                </w:p>
              </w:tc>
              <w:tc>
                <w:tcPr>
                  <w:tcW w:w="170" w:type="pct"/>
                  <w:shd w:val="clear" w:color="auto" w:fill="FFFFFF"/>
                  <w:tcMar>
                    <w:top w:w="0" w:type="dxa"/>
                    <w:left w:w="0" w:type="dxa"/>
                    <w:bottom w:w="0" w:type="dxa"/>
                    <w:right w:w="0" w:type="dxa"/>
                  </w:tcMar>
                  <w:vAlign w:val="center"/>
                </w:tcPr>
                <w:p w14:paraId="0EF745EC">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22.5</w:t>
                  </w:r>
                </w:p>
              </w:tc>
              <w:tc>
                <w:tcPr>
                  <w:tcW w:w="193" w:type="pct"/>
                  <w:shd w:val="clear" w:color="auto" w:fill="FFFFFF"/>
                  <w:tcMar>
                    <w:top w:w="0" w:type="dxa"/>
                    <w:left w:w="0" w:type="dxa"/>
                    <w:bottom w:w="0" w:type="dxa"/>
                    <w:right w:w="0" w:type="dxa"/>
                  </w:tcMar>
                  <w:vAlign w:val="center"/>
                </w:tcPr>
                <w:p w14:paraId="3F421A0B">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22.8</w:t>
                  </w:r>
                </w:p>
              </w:tc>
              <w:tc>
                <w:tcPr>
                  <w:tcW w:w="244" w:type="pct"/>
                  <w:shd w:val="clear" w:color="auto" w:fill="FFFFFF"/>
                  <w:tcMar>
                    <w:top w:w="0" w:type="dxa"/>
                    <w:left w:w="0" w:type="dxa"/>
                    <w:bottom w:w="0" w:type="dxa"/>
                    <w:right w:w="0" w:type="dxa"/>
                  </w:tcMar>
                  <w:vAlign w:val="center"/>
                </w:tcPr>
                <w:p w14:paraId="65EDF16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0F4F5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1035F08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5</w:t>
                  </w:r>
                </w:p>
              </w:tc>
              <w:tc>
                <w:tcPr>
                  <w:tcW w:w="304" w:type="pct"/>
                  <w:shd w:val="clear" w:color="auto" w:fill="FFFFFF"/>
                  <w:tcMar>
                    <w:top w:w="0" w:type="dxa"/>
                    <w:left w:w="0" w:type="dxa"/>
                    <w:bottom w:w="0" w:type="dxa"/>
                    <w:right w:w="0" w:type="dxa"/>
                  </w:tcMar>
                  <w:vAlign w:val="center"/>
                </w:tcPr>
                <w:p w14:paraId="005A43A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抛丸机</w:t>
                  </w:r>
                </w:p>
              </w:tc>
              <w:tc>
                <w:tcPr>
                  <w:tcW w:w="267" w:type="pct"/>
                  <w:shd w:val="clear" w:color="auto" w:fill="FFFFFF"/>
                  <w:tcMar>
                    <w:top w:w="0" w:type="dxa"/>
                    <w:left w:w="0" w:type="dxa"/>
                    <w:bottom w:w="0" w:type="dxa"/>
                    <w:right w:w="0" w:type="dxa"/>
                  </w:tcMar>
                  <w:vAlign w:val="center"/>
                </w:tcPr>
                <w:p w14:paraId="21E1AC1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80</w:t>
                  </w:r>
                </w:p>
              </w:tc>
              <w:tc>
                <w:tcPr>
                  <w:tcW w:w="166" w:type="pct"/>
                  <w:vMerge w:val="continue"/>
                  <w:shd w:val="clear" w:color="auto" w:fill="FFFFFF"/>
                  <w:tcMar>
                    <w:top w:w="0" w:type="dxa"/>
                    <w:left w:w="0" w:type="dxa"/>
                    <w:bottom w:w="0" w:type="dxa"/>
                    <w:right w:w="0" w:type="dxa"/>
                  </w:tcMar>
                  <w:vAlign w:val="center"/>
                </w:tcPr>
                <w:p w14:paraId="6992D89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418B63C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26.05</w:t>
                  </w:r>
                </w:p>
              </w:tc>
              <w:tc>
                <w:tcPr>
                  <w:tcW w:w="205" w:type="pct"/>
                  <w:shd w:val="clear" w:color="auto" w:fill="FFFFFF"/>
                  <w:tcMar>
                    <w:top w:w="0" w:type="dxa"/>
                    <w:left w:w="0" w:type="dxa"/>
                    <w:bottom w:w="0" w:type="dxa"/>
                    <w:right w:w="0" w:type="dxa"/>
                  </w:tcMar>
                  <w:vAlign w:val="center"/>
                </w:tcPr>
                <w:p w14:paraId="1B80BEF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w:t>
                  </w:r>
                  <w:r>
                    <w:rPr>
                      <w:rFonts w:hint="default" w:ascii="Times New Roman" w:hAnsi="Times New Roman" w:cs="Times New Roman"/>
                      <w:bCs/>
                      <w:color w:val="000000" w:themeColor="text1"/>
                      <w:sz w:val="18"/>
                      <w:szCs w:val="18"/>
                      <w:highlight w:val="none"/>
                      <w14:textFill>
                        <w14:solidFill>
                          <w14:schemeClr w14:val="tx1"/>
                        </w14:solidFill>
                      </w14:textFill>
                    </w:rPr>
                    <w:t>16.55</w:t>
                  </w:r>
                </w:p>
              </w:tc>
              <w:tc>
                <w:tcPr>
                  <w:tcW w:w="183" w:type="pct"/>
                  <w:shd w:val="clear" w:color="auto" w:fill="FFFFFF"/>
                  <w:tcMar>
                    <w:top w:w="0" w:type="dxa"/>
                    <w:left w:w="0" w:type="dxa"/>
                    <w:bottom w:w="0" w:type="dxa"/>
                    <w:right w:w="0" w:type="dxa"/>
                  </w:tcMar>
                  <w:vAlign w:val="center"/>
                </w:tcPr>
                <w:p w14:paraId="352AB72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42C0966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36.6</w:t>
                  </w:r>
                </w:p>
              </w:tc>
              <w:tc>
                <w:tcPr>
                  <w:tcW w:w="194" w:type="pct"/>
                  <w:shd w:val="clear" w:color="auto" w:fill="FFFFFF"/>
                  <w:tcMar>
                    <w:top w:w="0" w:type="dxa"/>
                    <w:left w:w="0" w:type="dxa"/>
                    <w:bottom w:w="0" w:type="dxa"/>
                    <w:right w:w="0" w:type="dxa"/>
                  </w:tcMar>
                  <w:vAlign w:val="center"/>
                </w:tcPr>
                <w:p w14:paraId="7156BB5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9.8</w:t>
                  </w:r>
                </w:p>
              </w:tc>
              <w:tc>
                <w:tcPr>
                  <w:tcW w:w="199" w:type="pct"/>
                  <w:shd w:val="clear" w:color="auto" w:fill="FFFFFF"/>
                  <w:tcMar>
                    <w:top w:w="0" w:type="dxa"/>
                    <w:left w:w="0" w:type="dxa"/>
                    <w:bottom w:w="0" w:type="dxa"/>
                    <w:right w:w="0" w:type="dxa"/>
                  </w:tcMar>
                  <w:vAlign w:val="center"/>
                </w:tcPr>
                <w:p w14:paraId="275DF53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132.5</w:t>
                  </w:r>
                </w:p>
              </w:tc>
              <w:tc>
                <w:tcPr>
                  <w:tcW w:w="192" w:type="pct"/>
                  <w:shd w:val="clear" w:color="auto" w:fill="FFFFFF"/>
                  <w:tcMar>
                    <w:top w:w="0" w:type="dxa"/>
                    <w:left w:w="0" w:type="dxa"/>
                    <w:bottom w:w="0" w:type="dxa"/>
                    <w:right w:w="0" w:type="dxa"/>
                  </w:tcMar>
                  <w:vAlign w:val="center"/>
                </w:tcPr>
                <w:p w14:paraId="5A94F52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103.8</w:t>
                  </w:r>
                </w:p>
              </w:tc>
              <w:tc>
                <w:tcPr>
                  <w:tcW w:w="181" w:type="pct"/>
                  <w:shd w:val="clear" w:color="auto" w:fill="FFFFFF"/>
                  <w:tcMar>
                    <w:top w:w="0" w:type="dxa"/>
                    <w:left w:w="0" w:type="dxa"/>
                    <w:bottom w:w="0" w:type="dxa"/>
                    <w:right w:w="0" w:type="dxa"/>
                  </w:tcMar>
                  <w:vAlign w:val="center"/>
                </w:tcPr>
                <w:p w14:paraId="1F8DBF8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48.7</w:t>
                  </w:r>
                </w:p>
              </w:tc>
              <w:tc>
                <w:tcPr>
                  <w:tcW w:w="186" w:type="pct"/>
                  <w:shd w:val="clear" w:color="auto" w:fill="FFFFFF"/>
                  <w:tcMar>
                    <w:top w:w="0" w:type="dxa"/>
                    <w:left w:w="0" w:type="dxa"/>
                    <w:bottom w:w="0" w:type="dxa"/>
                    <w:right w:w="0" w:type="dxa"/>
                  </w:tcMar>
                  <w:vAlign w:val="center"/>
                </w:tcPr>
                <w:p w14:paraId="1BF92FC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60.2</w:t>
                  </w:r>
                </w:p>
              </w:tc>
              <w:tc>
                <w:tcPr>
                  <w:tcW w:w="185" w:type="pct"/>
                  <w:shd w:val="clear" w:color="auto" w:fill="FFFFFF"/>
                  <w:tcMar>
                    <w:top w:w="0" w:type="dxa"/>
                    <w:left w:w="0" w:type="dxa"/>
                    <w:bottom w:w="0" w:type="dxa"/>
                    <w:right w:w="0" w:type="dxa"/>
                  </w:tcMar>
                  <w:vAlign w:val="center"/>
                </w:tcPr>
                <w:p w14:paraId="41ABA72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37.6</w:t>
                  </w:r>
                </w:p>
              </w:tc>
              <w:tc>
                <w:tcPr>
                  <w:tcW w:w="201" w:type="pct"/>
                  <w:shd w:val="clear" w:color="auto" w:fill="FFFFFF"/>
                  <w:tcMar>
                    <w:top w:w="0" w:type="dxa"/>
                    <w:left w:w="0" w:type="dxa"/>
                    <w:bottom w:w="0" w:type="dxa"/>
                    <w:right w:w="0" w:type="dxa"/>
                  </w:tcMar>
                  <w:vAlign w:val="center"/>
                </w:tcPr>
                <w:p w14:paraId="71399C8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39.7</w:t>
                  </w:r>
                </w:p>
              </w:tc>
              <w:tc>
                <w:tcPr>
                  <w:tcW w:w="195" w:type="pct"/>
                  <w:vMerge w:val="continue"/>
                  <w:shd w:val="clear" w:color="auto" w:fill="FFFFFF"/>
                  <w:tcMar>
                    <w:top w:w="0" w:type="dxa"/>
                    <w:left w:w="0" w:type="dxa"/>
                    <w:bottom w:w="0" w:type="dxa"/>
                    <w:right w:w="0" w:type="dxa"/>
                  </w:tcMar>
                  <w:vAlign w:val="center"/>
                </w:tcPr>
                <w:p w14:paraId="4A35BFF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0B11CB6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44B43CF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51941C8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3A16915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0ED1FECA">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28.7</w:t>
                  </w:r>
                </w:p>
              </w:tc>
              <w:tc>
                <w:tcPr>
                  <w:tcW w:w="193" w:type="pct"/>
                  <w:shd w:val="clear" w:color="auto" w:fill="FFFFFF"/>
                  <w:tcMar>
                    <w:top w:w="0" w:type="dxa"/>
                    <w:left w:w="0" w:type="dxa"/>
                    <w:bottom w:w="0" w:type="dxa"/>
                    <w:right w:w="0" w:type="dxa"/>
                  </w:tcMar>
                  <w:vAlign w:val="center"/>
                </w:tcPr>
                <w:p w14:paraId="2928327F">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40.2</w:t>
                  </w:r>
                </w:p>
              </w:tc>
              <w:tc>
                <w:tcPr>
                  <w:tcW w:w="170" w:type="pct"/>
                  <w:shd w:val="clear" w:color="auto" w:fill="FFFFFF"/>
                  <w:tcMar>
                    <w:top w:w="0" w:type="dxa"/>
                    <w:left w:w="0" w:type="dxa"/>
                    <w:bottom w:w="0" w:type="dxa"/>
                    <w:right w:w="0" w:type="dxa"/>
                  </w:tcMar>
                  <w:vAlign w:val="center"/>
                </w:tcPr>
                <w:p w14:paraId="062604F0">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17.6</w:t>
                  </w:r>
                </w:p>
              </w:tc>
              <w:tc>
                <w:tcPr>
                  <w:tcW w:w="193" w:type="pct"/>
                  <w:shd w:val="clear" w:color="auto" w:fill="FFFFFF"/>
                  <w:tcMar>
                    <w:top w:w="0" w:type="dxa"/>
                    <w:left w:w="0" w:type="dxa"/>
                    <w:bottom w:w="0" w:type="dxa"/>
                    <w:right w:w="0" w:type="dxa"/>
                  </w:tcMar>
                  <w:vAlign w:val="center"/>
                </w:tcPr>
                <w:p w14:paraId="7B9813A5">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19.7</w:t>
                  </w:r>
                </w:p>
              </w:tc>
              <w:tc>
                <w:tcPr>
                  <w:tcW w:w="244" w:type="pct"/>
                  <w:shd w:val="clear" w:color="auto" w:fill="FFFFFF"/>
                  <w:tcMar>
                    <w:top w:w="0" w:type="dxa"/>
                    <w:left w:w="0" w:type="dxa"/>
                    <w:bottom w:w="0" w:type="dxa"/>
                    <w:right w:w="0" w:type="dxa"/>
                  </w:tcMar>
                  <w:vAlign w:val="center"/>
                </w:tcPr>
                <w:p w14:paraId="1436A47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531C4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716976F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w:t>
                  </w:r>
                </w:p>
              </w:tc>
              <w:tc>
                <w:tcPr>
                  <w:tcW w:w="304" w:type="pct"/>
                  <w:shd w:val="clear" w:color="auto" w:fill="FFFFFF"/>
                  <w:tcMar>
                    <w:top w:w="0" w:type="dxa"/>
                    <w:left w:w="0" w:type="dxa"/>
                    <w:bottom w:w="0" w:type="dxa"/>
                    <w:right w:w="0" w:type="dxa"/>
                  </w:tcMar>
                  <w:vAlign w:val="center"/>
                </w:tcPr>
                <w:p w14:paraId="76067C2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喷漆房</w:t>
                  </w:r>
                </w:p>
              </w:tc>
              <w:tc>
                <w:tcPr>
                  <w:tcW w:w="267" w:type="pct"/>
                  <w:shd w:val="clear" w:color="auto" w:fill="FFFFFF"/>
                  <w:tcMar>
                    <w:top w:w="0" w:type="dxa"/>
                    <w:left w:w="0" w:type="dxa"/>
                    <w:bottom w:w="0" w:type="dxa"/>
                    <w:right w:w="0" w:type="dxa"/>
                  </w:tcMar>
                  <w:vAlign w:val="center"/>
                </w:tcPr>
                <w:p w14:paraId="71D5156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73</w:t>
                  </w:r>
                </w:p>
              </w:tc>
              <w:tc>
                <w:tcPr>
                  <w:tcW w:w="166" w:type="pct"/>
                  <w:vMerge w:val="continue"/>
                  <w:shd w:val="clear" w:color="auto" w:fill="FFFFFF"/>
                  <w:tcMar>
                    <w:top w:w="0" w:type="dxa"/>
                    <w:left w:w="0" w:type="dxa"/>
                    <w:bottom w:w="0" w:type="dxa"/>
                    <w:right w:w="0" w:type="dxa"/>
                  </w:tcMar>
                  <w:vAlign w:val="center"/>
                </w:tcPr>
                <w:p w14:paraId="16A3877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1A90686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-22.93</w:t>
                  </w:r>
                </w:p>
              </w:tc>
              <w:tc>
                <w:tcPr>
                  <w:tcW w:w="205" w:type="pct"/>
                  <w:shd w:val="clear" w:color="auto" w:fill="FFFFFF"/>
                  <w:tcMar>
                    <w:top w:w="0" w:type="dxa"/>
                    <w:left w:w="0" w:type="dxa"/>
                    <w:bottom w:w="0" w:type="dxa"/>
                    <w:right w:w="0" w:type="dxa"/>
                  </w:tcMar>
                  <w:vAlign w:val="center"/>
                </w:tcPr>
                <w:p w14:paraId="3101E32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w:t>
                  </w:r>
                  <w:r>
                    <w:rPr>
                      <w:rFonts w:hint="default" w:ascii="Times New Roman" w:hAnsi="Times New Roman" w:cs="Times New Roman"/>
                      <w:bCs/>
                      <w:color w:val="000000" w:themeColor="text1"/>
                      <w:sz w:val="18"/>
                      <w:szCs w:val="18"/>
                      <w:highlight w:val="none"/>
                      <w14:textFill>
                        <w14:solidFill>
                          <w14:schemeClr w14:val="tx1"/>
                        </w14:solidFill>
                      </w14:textFill>
                    </w:rPr>
                    <w:t>43.88</w:t>
                  </w:r>
                </w:p>
              </w:tc>
              <w:tc>
                <w:tcPr>
                  <w:tcW w:w="183" w:type="pct"/>
                  <w:shd w:val="clear" w:color="auto" w:fill="FFFFFF"/>
                  <w:tcMar>
                    <w:top w:w="0" w:type="dxa"/>
                    <w:left w:w="0" w:type="dxa"/>
                    <w:bottom w:w="0" w:type="dxa"/>
                    <w:right w:w="0" w:type="dxa"/>
                  </w:tcMar>
                  <w:vAlign w:val="center"/>
                </w:tcPr>
                <w:p w14:paraId="3075122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164770F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93.1</w:t>
                  </w:r>
                </w:p>
              </w:tc>
              <w:tc>
                <w:tcPr>
                  <w:tcW w:w="194" w:type="pct"/>
                  <w:shd w:val="clear" w:color="auto" w:fill="FFFFFF"/>
                  <w:tcMar>
                    <w:top w:w="0" w:type="dxa"/>
                    <w:left w:w="0" w:type="dxa"/>
                    <w:bottom w:w="0" w:type="dxa"/>
                    <w:right w:w="0" w:type="dxa"/>
                  </w:tcMar>
                  <w:vAlign w:val="center"/>
                </w:tcPr>
                <w:p w14:paraId="4DC4753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6.4</w:t>
                  </w:r>
                </w:p>
              </w:tc>
              <w:tc>
                <w:tcPr>
                  <w:tcW w:w="199" w:type="pct"/>
                  <w:shd w:val="clear" w:color="auto" w:fill="FFFFFF"/>
                  <w:tcMar>
                    <w:top w:w="0" w:type="dxa"/>
                    <w:left w:w="0" w:type="dxa"/>
                    <w:bottom w:w="0" w:type="dxa"/>
                    <w:right w:w="0" w:type="dxa"/>
                  </w:tcMar>
                  <w:vAlign w:val="center"/>
                </w:tcPr>
                <w:p w14:paraId="04D08FA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76.2</w:t>
                  </w:r>
                </w:p>
              </w:tc>
              <w:tc>
                <w:tcPr>
                  <w:tcW w:w="192" w:type="pct"/>
                  <w:shd w:val="clear" w:color="auto" w:fill="FFFFFF"/>
                  <w:tcMar>
                    <w:top w:w="0" w:type="dxa"/>
                    <w:left w:w="0" w:type="dxa"/>
                    <w:bottom w:w="0" w:type="dxa"/>
                    <w:right w:w="0" w:type="dxa"/>
                  </w:tcMar>
                  <w:vAlign w:val="center"/>
                </w:tcPr>
                <w:p w14:paraId="5023ABA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104.4</w:t>
                  </w:r>
                </w:p>
              </w:tc>
              <w:tc>
                <w:tcPr>
                  <w:tcW w:w="181" w:type="pct"/>
                  <w:shd w:val="clear" w:color="auto" w:fill="FFFFFF"/>
                  <w:tcMar>
                    <w:top w:w="0" w:type="dxa"/>
                    <w:left w:w="0" w:type="dxa"/>
                    <w:bottom w:w="0" w:type="dxa"/>
                    <w:right w:w="0" w:type="dxa"/>
                  </w:tcMar>
                  <w:vAlign w:val="center"/>
                </w:tcPr>
                <w:p w14:paraId="037CB8B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33.6</w:t>
                  </w:r>
                </w:p>
              </w:tc>
              <w:tc>
                <w:tcPr>
                  <w:tcW w:w="186" w:type="pct"/>
                  <w:shd w:val="clear" w:color="auto" w:fill="FFFFFF"/>
                  <w:tcMar>
                    <w:top w:w="0" w:type="dxa"/>
                    <w:left w:w="0" w:type="dxa"/>
                    <w:bottom w:w="0" w:type="dxa"/>
                    <w:right w:w="0" w:type="dxa"/>
                  </w:tcMar>
                  <w:vAlign w:val="center"/>
                </w:tcPr>
                <w:p w14:paraId="62C68A1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56.9</w:t>
                  </w:r>
                </w:p>
              </w:tc>
              <w:tc>
                <w:tcPr>
                  <w:tcW w:w="185" w:type="pct"/>
                  <w:shd w:val="clear" w:color="auto" w:fill="FFFFFF"/>
                  <w:tcMar>
                    <w:top w:w="0" w:type="dxa"/>
                    <w:left w:w="0" w:type="dxa"/>
                    <w:bottom w:w="0" w:type="dxa"/>
                    <w:right w:w="0" w:type="dxa"/>
                  </w:tcMar>
                  <w:vAlign w:val="center"/>
                </w:tcPr>
                <w:p w14:paraId="75AD414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35.4</w:t>
                  </w:r>
                </w:p>
              </w:tc>
              <w:tc>
                <w:tcPr>
                  <w:tcW w:w="201" w:type="pct"/>
                  <w:shd w:val="clear" w:color="auto" w:fill="FFFFFF"/>
                  <w:tcMar>
                    <w:top w:w="0" w:type="dxa"/>
                    <w:left w:w="0" w:type="dxa"/>
                    <w:bottom w:w="0" w:type="dxa"/>
                    <w:right w:w="0" w:type="dxa"/>
                  </w:tcMar>
                  <w:vAlign w:val="center"/>
                </w:tcPr>
                <w:p w14:paraId="12ADB98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32.6</w:t>
                  </w:r>
                </w:p>
              </w:tc>
              <w:tc>
                <w:tcPr>
                  <w:tcW w:w="195" w:type="pct"/>
                  <w:vMerge w:val="continue"/>
                  <w:shd w:val="clear" w:color="auto" w:fill="FFFFFF"/>
                  <w:tcMar>
                    <w:top w:w="0" w:type="dxa"/>
                    <w:left w:w="0" w:type="dxa"/>
                    <w:bottom w:w="0" w:type="dxa"/>
                    <w:right w:w="0" w:type="dxa"/>
                  </w:tcMar>
                  <w:vAlign w:val="center"/>
                </w:tcPr>
                <w:p w14:paraId="2DB3323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4E99DDA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7FD8B3D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37793CF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4123B59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11FABCCD">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13.6</w:t>
                  </w:r>
                </w:p>
              </w:tc>
              <w:tc>
                <w:tcPr>
                  <w:tcW w:w="193" w:type="pct"/>
                  <w:shd w:val="clear" w:color="auto" w:fill="FFFFFF"/>
                  <w:tcMar>
                    <w:top w:w="0" w:type="dxa"/>
                    <w:left w:w="0" w:type="dxa"/>
                    <w:bottom w:w="0" w:type="dxa"/>
                    <w:right w:w="0" w:type="dxa"/>
                  </w:tcMar>
                  <w:vAlign w:val="center"/>
                </w:tcPr>
                <w:p w14:paraId="5B29AE82">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36.9</w:t>
                  </w:r>
                </w:p>
              </w:tc>
              <w:tc>
                <w:tcPr>
                  <w:tcW w:w="170" w:type="pct"/>
                  <w:shd w:val="clear" w:color="auto" w:fill="FFFFFF"/>
                  <w:tcMar>
                    <w:top w:w="0" w:type="dxa"/>
                    <w:left w:w="0" w:type="dxa"/>
                    <w:bottom w:w="0" w:type="dxa"/>
                    <w:right w:w="0" w:type="dxa"/>
                  </w:tcMar>
                  <w:vAlign w:val="center"/>
                </w:tcPr>
                <w:p w14:paraId="6918873E">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15.4</w:t>
                  </w:r>
                </w:p>
              </w:tc>
              <w:tc>
                <w:tcPr>
                  <w:tcW w:w="193" w:type="pct"/>
                  <w:shd w:val="clear" w:color="auto" w:fill="FFFFFF"/>
                  <w:tcMar>
                    <w:top w:w="0" w:type="dxa"/>
                    <w:left w:w="0" w:type="dxa"/>
                    <w:bottom w:w="0" w:type="dxa"/>
                    <w:right w:w="0" w:type="dxa"/>
                  </w:tcMar>
                  <w:vAlign w:val="center"/>
                </w:tcPr>
                <w:p w14:paraId="6D094371">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12.6</w:t>
                  </w:r>
                </w:p>
              </w:tc>
              <w:tc>
                <w:tcPr>
                  <w:tcW w:w="244" w:type="pct"/>
                  <w:shd w:val="clear" w:color="auto" w:fill="FFFFFF"/>
                  <w:tcMar>
                    <w:top w:w="0" w:type="dxa"/>
                    <w:left w:w="0" w:type="dxa"/>
                    <w:bottom w:w="0" w:type="dxa"/>
                    <w:right w:w="0" w:type="dxa"/>
                  </w:tcMar>
                  <w:vAlign w:val="center"/>
                </w:tcPr>
                <w:p w14:paraId="176D31C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1BE41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7DEC867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7</w:t>
                  </w:r>
                </w:p>
              </w:tc>
              <w:tc>
                <w:tcPr>
                  <w:tcW w:w="304" w:type="pct"/>
                  <w:shd w:val="clear" w:color="auto" w:fill="FFFFFF"/>
                  <w:tcMar>
                    <w:top w:w="0" w:type="dxa"/>
                    <w:left w:w="0" w:type="dxa"/>
                    <w:bottom w:w="0" w:type="dxa"/>
                    <w:right w:w="0" w:type="dxa"/>
                  </w:tcMar>
                  <w:vAlign w:val="center"/>
                </w:tcPr>
                <w:p w14:paraId="75F0AF4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抛丸风机</w:t>
                  </w:r>
                </w:p>
              </w:tc>
              <w:tc>
                <w:tcPr>
                  <w:tcW w:w="267" w:type="pct"/>
                  <w:shd w:val="clear" w:color="auto" w:fill="FFFFFF"/>
                  <w:tcMar>
                    <w:top w:w="0" w:type="dxa"/>
                    <w:left w:w="0" w:type="dxa"/>
                    <w:bottom w:w="0" w:type="dxa"/>
                    <w:right w:w="0" w:type="dxa"/>
                  </w:tcMar>
                  <w:vAlign w:val="center"/>
                </w:tcPr>
                <w:p w14:paraId="2D81C58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75</w:t>
                  </w:r>
                </w:p>
              </w:tc>
              <w:tc>
                <w:tcPr>
                  <w:tcW w:w="166" w:type="pct"/>
                  <w:vMerge w:val="continue"/>
                  <w:shd w:val="clear" w:color="auto" w:fill="FFFFFF"/>
                  <w:tcMar>
                    <w:top w:w="0" w:type="dxa"/>
                    <w:left w:w="0" w:type="dxa"/>
                    <w:bottom w:w="0" w:type="dxa"/>
                    <w:right w:w="0" w:type="dxa"/>
                  </w:tcMar>
                  <w:vAlign w:val="center"/>
                </w:tcPr>
                <w:p w14:paraId="6682F06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484D9A0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30.13</w:t>
                  </w:r>
                </w:p>
              </w:tc>
              <w:tc>
                <w:tcPr>
                  <w:tcW w:w="205" w:type="pct"/>
                  <w:shd w:val="clear" w:color="auto" w:fill="FFFFFF"/>
                  <w:tcMar>
                    <w:top w:w="0" w:type="dxa"/>
                    <w:left w:w="0" w:type="dxa"/>
                    <w:bottom w:w="0" w:type="dxa"/>
                    <w:right w:w="0" w:type="dxa"/>
                  </w:tcMar>
                  <w:vAlign w:val="center"/>
                </w:tcPr>
                <w:p w14:paraId="6419D22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w:t>
                  </w:r>
                  <w:r>
                    <w:rPr>
                      <w:rFonts w:hint="default" w:ascii="Times New Roman" w:hAnsi="Times New Roman" w:cs="Times New Roman"/>
                      <w:bCs/>
                      <w:color w:val="000000" w:themeColor="text1"/>
                      <w:sz w:val="18"/>
                      <w:szCs w:val="18"/>
                      <w:highlight w:val="none"/>
                      <w14:textFill>
                        <w14:solidFill>
                          <w14:schemeClr w14:val="tx1"/>
                        </w14:solidFill>
                      </w14:textFill>
                    </w:rPr>
                    <w:t>19.45</w:t>
                  </w:r>
                </w:p>
              </w:tc>
              <w:tc>
                <w:tcPr>
                  <w:tcW w:w="183" w:type="pct"/>
                  <w:shd w:val="clear" w:color="auto" w:fill="FFFFFF"/>
                  <w:tcMar>
                    <w:top w:w="0" w:type="dxa"/>
                    <w:left w:w="0" w:type="dxa"/>
                    <w:bottom w:w="0" w:type="dxa"/>
                    <w:right w:w="0" w:type="dxa"/>
                  </w:tcMar>
                  <w:vAlign w:val="center"/>
                </w:tcPr>
                <w:p w14:paraId="4D9F3DE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7117127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34.2</w:t>
                  </w:r>
                </w:p>
              </w:tc>
              <w:tc>
                <w:tcPr>
                  <w:tcW w:w="194" w:type="pct"/>
                  <w:shd w:val="clear" w:color="auto" w:fill="FFFFFF"/>
                  <w:tcMar>
                    <w:top w:w="0" w:type="dxa"/>
                    <w:left w:w="0" w:type="dxa"/>
                    <w:bottom w:w="0" w:type="dxa"/>
                    <w:right w:w="0" w:type="dxa"/>
                  </w:tcMar>
                  <w:vAlign w:val="center"/>
                </w:tcPr>
                <w:p w14:paraId="1D2D7FD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5.1</w:t>
                  </w:r>
                </w:p>
              </w:tc>
              <w:tc>
                <w:tcPr>
                  <w:tcW w:w="199" w:type="pct"/>
                  <w:shd w:val="clear" w:color="auto" w:fill="FFFFFF"/>
                  <w:tcMar>
                    <w:top w:w="0" w:type="dxa"/>
                    <w:left w:w="0" w:type="dxa"/>
                    <w:bottom w:w="0" w:type="dxa"/>
                    <w:right w:w="0" w:type="dxa"/>
                  </w:tcMar>
                  <w:vAlign w:val="center"/>
                </w:tcPr>
                <w:p w14:paraId="758DE53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134.9</w:t>
                  </w:r>
                </w:p>
              </w:tc>
              <w:tc>
                <w:tcPr>
                  <w:tcW w:w="192" w:type="pct"/>
                  <w:shd w:val="clear" w:color="auto" w:fill="FFFFFF"/>
                  <w:tcMar>
                    <w:top w:w="0" w:type="dxa"/>
                    <w:left w:w="0" w:type="dxa"/>
                    <w:bottom w:w="0" w:type="dxa"/>
                    <w:right w:w="0" w:type="dxa"/>
                  </w:tcMar>
                  <w:vAlign w:val="center"/>
                </w:tcPr>
                <w:p w14:paraId="5F9F833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105.0</w:t>
                  </w:r>
                </w:p>
              </w:tc>
              <w:tc>
                <w:tcPr>
                  <w:tcW w:w="181" w:type="pct"/>
                  <w:shd w:val="clear" w:color="auto" w:fill="FFFFFF"/>
                  <w:tcMar>
                    <w:top w:w="0" w:type="dxa"/>
                    <w:left w:w="0" w:type="dxa"/>
                    <w:bottom w:w="0" w:type="dxa"/>
                    <w:right w:w="0" w:type="dxa"/>
                  </w:tcMar>
                  <w:vAlign w:val="center"/>
                </w:tcPr>
                <w:p w14:paraId="0578AD5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44.3</w:t>
                  </w:r>
                </w:p>
              </w:tc>
              <w:tc>
                <w:tcPr>
                  <w:tcW w:w="186" w:type="pct"/>
                  <w:shd w:val="clear" w:color="auto" w:fill="FFFFFF"/>
                  <w:tcMar>
                    <w:top w:w="0" w:type="dxa"/>
                    <w:left w:w="0" w:type="dxa"/>
                    <w:bottom w:w="0" w:type="dxa"/>
                    <w:right w:w="0" w:type="dxa"/>
                  </w:tcMar>
                  <w:vAlign w:val="center"/>
                </w:tcPr>
                <w:p w14:paraId="019FBC5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60.8</w:t>
                  </w:r>
                </w:p>
              </w:tc>
              <w:tc>
                <w:tcPr>
                  <w:tcW w:w="185" w:type="pct"/>
                  <w:shd w:val="clear" w:color="auto" w:fill="FFFFFF"/>
                  <w:tcMar>
                    <w:top w:w="0" w:type="dxa"/>
                    <w:left w:w="0" w:type="dxa"/>
                    <w:bottom w:w="0" w:type="dxa"/>
                    <w:right w:w="0" w:type="dxa"/>
                  </w:tcMar>
                  <w:vAlign w:val="center"/>
                </w:tcPr>
                <w:p w14:paraId="6808997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32.4</w:t>
                  </w:r>
                </w:p>
              </w:tc>
              <w:tc>
                <w:tcPr>
                  <w:tcW w:w="201" w:type="pct"/>
                  <w:shd w:val="clear" w:color="auto" w:fill="FFFFFF"/>
                  <w:tcMar>
                    <w:top w:w="0" w:type="dxa"/>
                    <w:left w:w="0" w:type="dxa"/>
                    <w:bottom w:w="0" w:type="dxa"/>
                    <w:right w:w="0" w:type="dxa"/>
                  </w:tcMar>
                  <w:vAlign w:val="center"/>
                </w:tcPr>
                <w:p w14:paraId="2CF33D0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34.6</w:t>
                  </w:r>
                </w:p>
              </w:tc>
              <w:tc>
                <w:tcPr>
                  <w:tcW w:w="195" w:type="pct"/>
                  <w:vMerge w:val="continue"/>
                  <w:shd w:val="clear" w:color="auto" w:fill="FFFFFF"/>
                  <w:tcMar>
                    <w:top w:w="0" w:type="dxa"/>
                    <w:left w:w="0" w:type="dxa"/>
                    <w:bottom w:w="0" w:type="dxa"/>
                    <w:right w:w="0" w:type="dxa"/>
                  </w:tcMar>
                  <w:vAlign w:val="center"/>
                </w:tcPr>
                <w:p w14:paraId="0A77E9B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354ECF1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2B6BF15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67154DD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37594C9D">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77DCEC63">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24.3</w:t>
                  </w:r>
                </w:p>
              </w:tc>
              <w:tc>
                <w:tcPr>
                  <w:tcW w:w="193" w:type="pct"/>
                  <w:shd w:val="clear" w:color="auto" w:fill="FFFFFF"/>
                  <w:tcMar>
                    <w:top w:w="0" w:type="dxa"/>
                    <w:left w:w="0" w:type="dxa"/>
                    <w:bottom w:w="0" w:type="dxa"/>
                    <w:right w:w="0" w:type="dxa"/>
                  </w:tcMar>
                  <w:vAlign w:val="center"/>
                </w:tcPr>
                <w:p w14:paraId="71658B7F">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40.8</w:t>
                  </w:r>
                </w:p>
              </w:tc>
              <w:tc>
                <w:tcPr>
                  <w:tcW w:w="170" w:type="pct"/>
                  <w:shd w:val="clear" w:color="auto" w:fill="FFFFFF"/>
                  <w:tcMar>
                    <w:top w:w="0" w:type="dxa"/>
                    <w:left w:w="0" w:type="dxa"/>
                    <w:bottom w:w="0" w:type="dxa"/>
                    <w:right w:w="0" w:type="dxa"/>
                  </w:tcMar>
                  <w:vAlign w:val="center"/>
                </w:tcPr>
                <w:p w14:paraId="5FA578F4">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12.4</w:t>
                  </w:r>
                </w:p>
              </w:tc>
              <w:tc>
                <w:tcPr>
                  <w:tcW w:w="193" w:type="pct"/>
                  <w:shd w:val="clear" w:color="auto" w:fill="FFFFFF"/>
                  <w:tcMar>
                    <w:top w:w="0" w:type="dxa"/>
                    <w:left w:w="0" w:type="dxa"/>
                    <w:bottom w:w="0" w:type="dxa"/>
                    <w:right w:w="0" w:type="dxa"/>
                  </w:tcMar>
                  <w:vAlign w:val="center"/>
                </w:tcPr>
                <w:p w14:paraId="6A1DFF2E">
                  <w:pPr>
                    <w:widowControl/>
                    <w:autoSpaceDE w:val="0"/>
                    <w:autoSpaceDN w:val="0"/>
                    <w:jc w:val="center"/>
                    <w:textAlignment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14.6</w:t>
                  </w:r>
                </w:p>
              </w:tc>
              <w:tc>
                <w:tcPr>
                  <w:tcW w:w="244" w:type="pct"/>
                  <w:shd w:val="clear" w:color="auto" w:fill="FFFFFF"/>
                  <w:tcMar>
                    <w:top w:w="0" w:type="dxa"/>
                    <w:left w:w="0" w:type="dxa"/>
                    <w:bottom w:w="0" w:type="dxa"/>
                    <w:right w:w="0" w:type="dxa"/>
                  </w:tcMar>
                  <w:vAlign w:val="center"/>
                </w:tcPr>
                <w:p w14:paraId="1BD3800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val="zh-CN" w:bidi="zh-CN"/>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1</w:t>
                  </w:r>
                </w:p>
              </w:tc>
            </w:tr>
            <w:tr w14:paraId="6F8440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18F6971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8</w:t>
                  </w:r>
                </w:p>
              </w:tc>
              <w:tc>
                <w:tcPr>
                  <w:tcW w:w="304" w:type="pct"/>
                  <w:shd w:val="clear" w:color="auto" w:fill="FFFFFF"/>
                  <w:tcMar>
                    <w:top w:w="0" w:type="dxa"/>
                    <w:left w:w="0" w:type="dxa"/>
                    <w:bottom w:w="0" w:type="dxa"/>
                    <w:right w:w="0" w:type="dxa"/>
                  </w:tcMar>
                  <w:vAlign w:val="center"/>
                </w:tcPr>
                <w:p w14:paraId="470ECDE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打磨风机</w:t>
                  </w:r>
                </w:p>
              </w:tc>
              <w:tc>
                <w:tcPr>
                  <w:tcW w:w="267" w:type="pct"/>
                  <w:shd w:val="clear" w:color="auto" w:fill="FFFFFF"/>
                  <w:tcMar>
                    <w:top w:w="0" w:type="dxa"/>
                    <w:left w:w="0" w:type="dxa"/>
                    <w:bottom w:w="0" w:type="dxa"/>
                    <w:right w:w="0" w:type="dxa"/>
                  </w:tcMar>
                  <w:vAlign w:val="center"/>
                </w:tcPr>
                <w:p w14:paraId="1DFD14F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75</w:t>
                  </w:r>
                </w:p>
              </w:tc>
              <w:tc>
                <w:tcPr>
                  <w:tcW w:w="166" w:type="pct"/>
                  <w:vMerge w:val="continue"/>
                  <w:shd w:val="clear" w:color="auto" w:fill="FFFFFF"/>
                  <w:tcMar>
                    <w:top w:w="0" w:type="dxa"/>
                    <w:left w:w="0" w:type="dxa"/>
                    <w:bottom w:w="0" w:type="dxa"/>
                    <w:right w:w="0" w:type="dxa"/>
                  </w:tcMar>
                  <w:vAlign w:val="center"/>
                </w:tcPr>
                <w:p w14:paraId="111B2F7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5AF89DE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2.74</w:t>
                  </w:r>
                </w:p>
              </w:tc>
              <w:tc>
                <w:tcPr>
                  <w:tcW w:w="205" w:type="pct"/>
                  <w:shd w:val="clear" w:color="auto" w:fill="FFFFFF"/>
                  <w:tcMar>
                    <w:top w:w="0" w:type="dxa"/>
                    <w:left w:w="0" w:type="dxa"/>
                    <w:bottom w:w="0" w:type="dxa"/>
                    <w:right w:w="0" w:type="dxa"/>
                  </w:tcMar>
                  <w:vAlign w:val="center"/>
                </w:tcPr>
                <w:p w14:paraId="0ECD9CA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-34.59</w:t>
                  </w:r>
                </w:p>
              </w:tc>
              <w:tc>
                <w:tcPr>
                  <w:tcW w:w="183" w:type="pct"/>
                  <w:shd w:val="clear" w:color="auto" w:fill="FFFFFF"/>
                  <w:tcMar>
                    <w:top w:w="0" w:type="dxa"/>
                    <w:left w:w="0" w:type="dxa"/>
                    <w:bottom w:w="0" w:type="dxa"/>
                    <w:right w:w="0" w:type="dxa"/>
                  </w:tcMar>
                  <w:vAlign w:val="center"/>
                </w:tcPr>
                <w:p w14:paraId="01006DD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0881C40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65.1</w:t>
                  </w:r>
                </w:p>
              </w:tc>
              <w:tc>
                <w:tcPr>
                  <w:tcW w:w="194" w:type="pct"/>
                  <w:shd w:val="clear" w:color="auto" w:fill="FFFFFF"/>
                  <w:tcMar>
                    <w:top w:w="0" w:type="dxa"/>
                    <w:left w:w="0" w:type="dxa"/>
                    <w:bottom w:w="0" w:type="dxa"/>
                    <w:right w:w="0" w:type="dxa"/>
                  </w:tcMar>
                  <w:vAlign w:val="center"/>
                </w:tcPr>
                <w:p w14:paraId="7549A62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3.8</w:t>
                  </w:r>
                </w:p>
              </w:tc>
              <w:tc>
                <w:tcPr>
                  <w:tcW w:w="199" w:type="pct"/>
                  <w:shd w:val="clear" w:color="auto" w:fill="FFFFFF"/>
                  <w:tcMar>
                    <w:top w:w="0" w:type="dxa"/>
                    <w:left w:w="0" w:type="dxa"/>
                    <w:bottom w:w="0" w:type="dxa"/>
                    <w:right w:w="0" w:type="dxa"/>
                  </w:tcMar>
                  <w:vAlign w:val="center"/>
                </w:tcPr>
                <w:p w14:paraId="2578A75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103.4</w:t>
                  </w:r>
                </w:p>
              </w:tc>
              <w:tc>
                <w:tcPr>
                  <w:tcW w:w="192" w:type="pct"/>
                  <w:shd w:val="clear" w:color="auto" w:fill="FFFFFF"/>
                  <w:tcMar>
                    <w:top w:w="0" w:type="dxa"/>
                    <w:left w:w="0" w:type="dxa"/>
                    <w:bottom w:w="0" w:type="dxa"/>
                    <w:right w:w="0" w:type="dxa"/>
                  </w:tcMar>
                  <w:vAlign w:val="center"/>
                </w:tcPr>
                <w:p w14:paraId="20B94DA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106.7</w:t>
                  </w:r>
                </w:p>
              </w:tc>
              <w:tc>
                <w:tcPr>
                  <w:tcW w:w="181" w:type="pct"/>
                  <w:shd w:val="clear" w:color="auto" w:fill="FFFFFF"/>
                  <w:tcMar>
                    <w:top w:w="0" w:type="dxa"/>
                    <w:left w:w="0" w:type="dxa"/>
                    <w:bottom w:w="0" w:type="dxa"/>
                    <w:right w:w="0" w:type="dxa"/>
                  </w:tcMar>
                  <w:vAlign w:val="center"/>
                </w:tcPr>
                <w:p w14:paraId="7FE5330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38.7</w:t>
                  </w:r>
                </w:p>
              </w:tc>
              <w:tc>
                <w:tcPr>
                  <w:tcW w:w="186" w:type="pct"/>
                  <w:shd w:val="clear" w:color="auto" w:fill="FFFFFF"/>
                  <w:tcMar>
                    <w:top w:w="0" w:type="dxa"/>
                    <w:left w:w="0" w:type="dxa"/>
                    <w:bottom w:w="0" w:type="dxa"/>
                    <w:right w:w="0" w:type="dxa"/>
                  </w:tcMar>
                  <w:vAlign w:val="center"/>
                </w:tcPr>
                <w:p w14:paraId="16E4275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63.4</w:t>
                  </w:r>
                </w:p>
              </w:tc>
              <w:tc>
                <w:tcPr>
                  <w:tcW w:w="185" w:type="pct"/>
                  <w:shd w:val="clear" w:color="auto" w:fill="FFFFFF"/>
                  <w:tcMar>
                    <w:top w:w="0" w:type="dxa"/>
                    <w:left w:w="0" w:type="dxa"/>
                    <w:bottom w:w="0" w:type="dxa"/>
                    <w:right w:w="0" w:type="dxa"/>
                  </w:tcMar>
                  <w:vAlign w:val="center"/>
                </w:tcPr>
                <w:p w14:paraId="49C6995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34.7</w:t>
                  </w:r>
                </w:p>
              </w:tc>
              <w:tc>
                <w:tcPr>
                  <w:tcW w:w="201" w:type="pct"/>
                  <w:shd w:val="clear" w:color="auto" w:fill="FFFFFF"/>
                  <w:tcMar>
                    <w:top w:w="0" w:type="dxa"/>
                    <w:left w:w="0" w:type="dxa"/>
                    <w:bottom w:w="0" w:type="dxa"/>
                    <w:right w:w="0" w:type="dxa"/>
                  </w:tcMar>
                  <w:vAlign w:val="center"/>
                </w:tcPr>
                <w:p w14:paraId="62F64D5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34.4</w:t>
                  </w:r>
                </w:p>
              </w:tc>
              <w:tc>
                <w:tcPr>
                  <w:tcW w:w="195" w:type="pct"/>
                  <w:vMerge w:val="continue"/>
                  <w:shd w:val="clear" w:color="auto" w:fill="FFFFFF"/>
                  <w:tcMar>
                    <w:top w:w="0" w:type="dxa"/>
                    <w:left w:w="0" w:type="dxa"/>
                    <w:bottom w:w="0" w:type="dxa"/>
                    <w:right w:w="0" w:type="dxa"/>
                  </w:tcMar>
                  <w:vAlign w:val="center"/>
                </w:tcPr>
                <w:p w14:paraId="1E00EFA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24F76BC2">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42EDB5E3">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34679916">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0568AFBF">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1C2AE232">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18.7</w:t>
                  </w:r>
                </w:p>
              </w:tc>
              <w:tc>
                <w:tcPr>
                  <w:tcW w:w="193" w:type="pct"/>
                  <w:shd w:val="clear" w:color="auto" w:fill="FFFFFF"/>
                  <w:tcMar>
                    <w:top w:w="0" w:type="dxa"/>
                    <w:left w:w="0" w:type="dxa"/>
                    <w:bottom w:w="0" w:type="dxa"/>
                    <w:right w:w="0" w:type="dxa"/>
                  </w:tcMar>
                  <w:vAlign w:val="center"/>
                </w:tcPr>
                <w:p w14:paraId="3434474C">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43.4</w:t>
                  </w:r>
                </w:p>
              </w:tc>
              <w:tc>
                <w:tcPr>
                  <w:tcW w:w="170" w:type="pct"/>
                  <w:shd w:val="clear" w:color="auto" w:fill="FFFFFF"/>
                  <w:tcMar>
                    <w:top w:w="0" w:type="dxa"/>
                    <w:left w:w="0" w:type="dxa"/>
                    <w:bottom w:w="0" w:type="dxa"/>
                    <w:right w:w="0" w:type="dxa"/>
                  </w:tcMar>
                  <w:vAlign w:val="center"/>
                </w:tcPr>
                <w:p w14:paraId="549FEBC0">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14.7</w:t>
                  </w:r>
                </w:p>
              </w:tc>
              <w:tc>
                <w:tcPr>
                  <w:tcW w:w="193" w:type="pct"/>
                  <w:shd w:val="clear" w:color="auto" w:fill="FFFFFF"/>
                  <w:tcMar>
                    <w:top w:w="0" w:type="dxa"/>
                    <w:left w:w="0" w:type="dxa"/>
                    <w:bottom w:w="0" w:type="dxa"/>
                    <w:right w:w="0" w:type="dxa"/>
                  </w:tcMar>
                  <w:vAlign w:val="center"/>
                </w:tcPr>
                <w:p w14:paraId="162406FC">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14.4</w:t>
                  </w:r>
                </w:p>
              </w:tc>
              <w:tc>
                <w:tcPr>
                  <w:tcW w:w="244" w:type="pct"/>
                  <w:shd w:val="clear" w:color="auto" w:fill="FFFFFF"/>
                  <w:tcMar>
                    <w:top w:w="0" w:type="dxa"/>
                    <w:left w:w="0" w:type="dxa"/>
                    <w:bottom w:w="0" w:type="dxa"/>
                    <w:right w:w="0" w:type="dxa"/>
                  </w:tcMar>
                  <w:vAlign w:val="center"/>
                </w:tcPr>
                <w:p w14:paraId="7F2CAA0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w:t>
                  </w:r>
                </w:p>
              </w:tc>
            </w:tr>
            <w:tr w14:paraId="14F57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3F9F4356">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lang w:bidi="zh-CN"/>
                      <w14:textFill>
                        <w14:solidFill>
                          <w14:schemeClr w14:val="tx1"/>
                        </w14:solidFill>
                      </w14:textFill>
                    </w:rPr>
                  </w:pPr>
                  <w:r>
                    <w:rPr>
                      <w:rFonts w:hint="default" w:ascii="Times New Roman" w:hAnsi="Times New Roman" w:cs="Times New Roman"/>
                      <w:bCs/>
                      <w:color w:val="000000" w:themeColor="text1"/>
                      <w:sz w:val="18"/>
                      <w:szCs w:val="18"/>
                      <w:highlight w:val="none"/>
                      <w:lang w:bidi="zh-CN"/>
                      <w14:textFill>
                        <w14:solidFill>
                          <w14:schemeClr w14:val="tx1"/>
                        </w14:solidFill>
                      </w14:textFill>
                    </w:rPr>
                    <w:t>9</w:t>
                  </w:r>
                </w:p>
              </w:tc>
              <w:tc>
                <w:tcPr>
                  <w:tcW w:w="304" w:type="pct"/>
                  <w:shd w:val="clear" w:color="auto" w:fill="FFFFFF"/>
                  <w:tcMar>
                    <w:top w:w="0" w:type="dxa"/>
                    <w:left w:w="0" w:type="dxa"/>
                    <w:bottom w:w="0" w:type="dxa"/>
                    <w:right w:w="0" w:type="dxa"/>
                  </w:tcMar>
                  <w:vAlign w:val="center"/>
                </w:tcPr>
                <w:p w14:paraId="5BE7023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喷漆废气处理风机</w:t>
                  </w:r>
                </w:p>
              </w:tc>
              <w:tc>
                <w:tcPr>
                  <w:tcW w:w="267" w:type="pct"/>
                  <w:shd w:val="clear" w:color="auto" w:fill="FFFFFF"/>
                  <w:tcMar>
                    <w:top w:w="0" w:type="dxa"/>
                    <w:left w:w="0" w:type="dxa"/>
                    <w:bottom w:w="0" w:type="dxa"/>
                    <w:right w:w="0" w:type="dxa"/>
                  </w:tcMar>
                  <w:vAlign w:val="center"/>
                </w:tcPr>
                <w:p w14:paraId="484E1A1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79</w:t>
                  </w:r>
                </w:p>
              </w:tc>
              <w:tc>
                <w:tcPr>
                  <w:tcW w:w="166" w:type="pct"/>
                  <w:vMerge w:val="continue"/>
                  <w:shd w:val="clear" w:color="auto" w:fill="FFFFFF"/>
                  <w:tcMar>
                    <w:top w:w="0" w:type="dxa"/>
                    <w:left w:w="0" w:type="dxa"/>
                    <w:bottom w:w="0" w:type="dxa"/>
                    <w:right w:w="0" w:type="dxa"/>
                  </w:tcMar>
                  <w:vAlign w:val="center"/>
                </w:tcPr>
                <w:p w14:paraId="774B606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194" w:type="pct"/>
                  <w:shd w:val="clear" w:color="auto" w:fill="FFFFFF"/>
                  <w:tcMar>
                    <w:top w:w="0" w:type="dxa"/>
                    <w:left w:w="0" w:type="dxa"/>
                    <w:bottom w:w="0" w:type="dxa"/>
                    <w:right w:w="0" w:type="dxa"/>
                  </w:tcMar>
                  <w:vAlign w:val="center"/>
                </w:tcPr>
                <w:p w14:paraId="21BD77C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-14.02</w:t>
                  </w:r>
                </w:p>
              </w:tc>
              <w:tc>
                <w:tcPr>
                  <w:tcW w:w="205" w:type="pct"/>
                  <w:shd w:val="clear" w:color="auto" w:fill="FFFFFF"/>
                  <w:tcMar>
                    <w:top w:w="0" w:type="dxa"/>
                    <w:left w:w="0" w:type="dxa"/>
                    <w:bottom w:w="0" w:type="dxa"/>
                    <w:right w:w="0" w:type="dxa"/>
                  </w:tcMar>
                  <w:vAlign w:val="center"/>
                </w:tcPr>
                <w:p w14:paraId="7CA7ED2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-43.29</w:t>
                  </w:r>
                </w:p>
              </w:tc>
              <w:tc>
                <w:tcPr>
                  <w:tcW w:w="183" w:type="pct"/>
                  <w:shd w:val="clear" w:color="auto" w:fill="FFFFFF"/>
                  <w:tcMar>
                    <w:top w:w="0" w:type="dxa"/>
                    <w:left w:w="0" w:type="dxa"/>
                    <w:bottom w:w="0" w:type="dxa"/>
                    <w:right w:w="0" w:type="dxa"/>
                  </w:tcMar>
                  <w:vAlign w:val="center"/>
                </w:tcPr>
                <w:p w14:paraId="5142847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1.2</w:t>
                  </w:r>
                </w:p>
              </w:tc>
              <w:tc>
                <w:tcPr>
                  <w:tcW w:w="220" w:type="pct"/>
                  <w:shd w:val="clear" w:color="auto" w:fill="FFFFFF"/>
                  <w:tcMar>
                    <w:top w:w="0" w:type="dxa"/>
                    <w:left w:w="0" w:type="dxa"/>
                    <w:bottom w:w="0" w:type="dxa"/>
                    <w:right w:w="0" w:type="dxa"/>
                  </w:tcMar>
                  <w:vAlign w:val="center"/>
                </w:tcPr>
                <w:p w14:paraId="7FE03D7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84.6</w:t>
                  </w:r>
                </w:p>
              </w:tc>
              <w:tc>
                <w:tcPr>
                  <w:tcW w:w="194" w:type="pct"/>
                  <w:shd w:val="clear" w:color="auto" w:fill="FFFFFF"/>
                  <w:tcMar>
                    <w:top w:w="0" w:type="dxa"/>
                    <w:left w:w="0" w:type="dxa"/>
                    <w:bottom w:w="0" w:type="dxa"/>
                    <w:right w:w="0" w:type="dxa"/>
                  </w:tcMar>
                  <w:vAlign w:val="center"/>
                </w:tcPr>
                <w:p w14:paraId="58A2EA93">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3.1</w:t>
                  </w:r>
                </w:p>
              </w:tc>
              <w:tc>
                <w:tcPr>
                  <w:tcW w:w="199" w:type="pct"/>
                  <w:shd w:val="clear" w:color="auto" w:fill="FFFFFF"/>
                  <w:tcMar>
                    <w:top w:w="0" w:type="dxa"/>
                    <w:left w:w="0" w:type="dxa"/>
                    <w:bottom w:w="0" w:type="dxa"/>
                    <w:right w:w="0" w:type="dxa"/>
                  </w:tcMar>
                  <w:vAlign w:val="center"/>
                </w:tcPr>
                <w:p w14:paraId="7D0DFC6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84.6</w:t>
                  </w:r>
                </w:p>
              </w:tc>
              <w:tc>
                <w:tcPr>
                  <w:tcW w:w="192" w:type="pct"/>
                  <w:shd w:val="clear" w:color="auto" w:fill="FFFFFF"/>
                  <w:tcMar>
                    <w:top w:w="0" w:type="dxa"/>
                    <w:left w:w="0" w:type="dxa"/>
                    <w:bottom w:w="0" w:type="dxa"/>
                    <w:right w:w="0" w:type="dxa"/>
                  </w:tcMar>
                  <w:vAlign w:val="center"/>
                </w:tcPr>
                <w:p w14:paraId="1C9967B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107.8</w:t>
                  </w:r>
                </w:p>
              </w:tc>
              <w:tc>
                <w:tcPr>
                  <w:tcW w:w="181" w:type="pct"/>
                  <w:shd w:val="clear" w:color="auto" w:fill="FFFFFF"/>
                  <w:tcMar>
                    <w:top w:w="0" w:type="dxa"/>
                    <w:left w:w="0" w:type="dxa"/>
                    <w:bottom w:w="0" w:type="dxa"/>
                    <w:right w:w="0" w:type="dxa"/>
                  </w:tcMar>
                  <w:vAlign w:val="center"/>
                </w:tcPr>
                <w:p w14:paraId="442DB9F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41.2</w:t>
                  </w:r>
                </w:p>
              </w:tc>
              <w:tc>
                <w:tcPr>
                  <w:tcW w:w="186" w:type="pct"/>
                  <w:shd w:val="clear" w:color="auto" w:fill="FFFFFF"/>
                  <w:tcMar>
                    <w:top w:w="0" w:type="dxa"/>
                    <w:left w:w="0" w:type="dxa"/>
                    <w:bottom w:w="0" w:type="dxa"/>
                    <w:right w:w="0" w:type="dxa"/>
                  </w:tcMar>
                  <w:vAlign w:val="center"/>
                </w:tcPr>
                <w:p w14:paraId="29441FA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70.0</w:t>
                  </w:r>
                </w:p>
              </w:tc>
              <w:tc>
                <w:tcPr>
                  <w:tcW w:w="185" w:type="pct"/>
                  <w:shd w:val="clear" w:color="auto" w:fill="FFFFFF"/>
                  <w:tcMar>
                    <w:top w:w="0" w:type="dxa"/>
                    <w:left w:w="0" w:type="dxa"/>
                    <w:bottom w:w="0" w:type="dxa"/>
                    <w:right w:w="0" w:type="dxa"/>
                  </w:tcMar>
                  <w:vAlign w:val="center"/>
                </w:tcPr>
                <w:p w14:paraId="3580461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41.2</w:t>
                  </w:r>
                </w:p>
              </w:tc>
              <w:tc>
                <w:tcPr>
                  <w:tcW w:w="201" w:type="pct"/>
                  <w:shd w:val="clear" w:color="auto" w:fill="FFFFFF"/>
                  <w:tcMar>
                    <w:top w:w="0" w:type="dxa"/>
                    <w:left w:w="0" w:type="dxa"/>
                    <w:bottom w:w="0" w:type="dxa"/>
                    <w:right w:w="0" w:type="dxa"/>
                  </w:tcMar>
                  <w:vAlign w:val="center"/>
                </w:tcPr>
                <w:p w14:paraId="150D4E6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39.1</w:t>
                  </w:r>
                </w:p>
              </w:tc>
              <w:tc>
                <w:tcPr>
                  <w:tcW w:w="195" w:type="pct"/>
                  <w:vMerge w:val="continue"/>
                  <w:shd w:val="clear" w:color="auto" w:fill="FFFFFF"/>
                  <w:tcMar>
                    <w:top w:w="0" w:type="dxa"/>
                    <w:left w:w="0" w:type="dxa"/>
                    <w:bottom w:w="0" w:type="dxa"/>
                    <w:right w:w="0" w:type="dxa"/>
                  </w:tcMar>
                  <w:vAlign w:val="center"/>
                </w:tcPr>
                <w:p w14:paraId="3A847BF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p>
              </w:tc>
              <w:tc>
                <w:tcPr>
                  <w:tcW w:w="201" w:type="pct"/>
                  <w:shd w:val="clear" w:color="auto" w:fill="FFFFFF"/>
                  <w:tcMar>
                    <w:top w:w="0" w:type="dxa"/>
                    <w:left w:w="0" w:type="dxa"/>
                    <w:bottom w:w="0" w:type="dxa"/>
                    <w:right w:w="0" w:type="dxa"/>
                  </w:tcMar>
                  <w:vAlign w:val="center"/>
                </w:tcPr>
                <w:p w14:paraId="07936F79">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77" w:type="pct"/>
                  <w:shd w:val="clear" w:color="auto" w:fill="FFFFFF"/>
                  <w:tcMar>
                    <w:top w:w="0" w:type="dxa"/>
                    <w:left w:w="0" w:type="dxa"/>
                    <w:bottom w:w="0" w:type="dxa"/>
                    <w:right w:w="0" w:type="dxa"/>
                  </w:tcMar>
                  <w:vAlign w:val="center"/>
                </w:tcPr>
                <w:p w14:paraId="3E281ACC">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85" w:type="pct"/>
                  <w:shd w:val="clear" w:color="auto" w:fill="FFFFFF"/>
                  <w:tcMar>
                    <w:top w:w="0" w:type="dxa"/>
                    <w:left w:w="0" w:type="dxa"/>
                    <w:bottom w:w="0" w:type="dxa"/>
                    <w:right w:w="0" w:type="dxa"/>
                  </w:tcMar>
                  <w:vAlign w:val="center"/>
                </w:tcPr>
                <w:p w14:paraId="2398D389">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193" w:type="pct"/>
                  <w:shd w:val="clear" w:color="auto" w:fill="FFFFFF"/>
                  <w:tcMar>
                    <w:top w:w="0" w:type="dxa"/>
                    <w:left w:w="0" w:type="dxa"/>
                    <w:bottom w:w="0" w:type="dxa"/>
                    <w:right w:w="0" w:type="dxa"/>
                  </w:tcMar>
                  <w:vAlign w:val="center"/>
                </w:tcPr>
                <w:p w14:paraId="38F7F6ED">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eastAsia="Arial" w:cs="Times New Roman"/>
                      <w:bCs/>
                      <w:color w:val="000000" w:themeColor="text1"/>
                      <w:sz w:val="18"/>
                      <w:szCs w:val="18"/>
                      <w:highlight w:val="none"/>
                      <w14:textFill>
                        <w14:solidFill>
                          <w14:schemeClr w14:val="tx1"/>
                        </w14:solidFill>
                      </w14:textFill>
                    </w:rPr>
                    <w:t>2</w:t>
                  </w:r>
                  <w:r>
                    <w:rPr>
                      <w:rFonts w:hint="default" w:ascii="Times New Roman" w:hAnsi="Times New Roman" w:cs="Times New Roman"/>
                      <w:bCs/>
                      <w:color w:val="000000" w:themeColor="text1"/>
                      <w:sz w:val="18"/>
                      <w:szCs w:val="18"/>
                      <w:highlight w:val="non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14:textFill>
                        <w14:solidFill>
                          <w14:schemeClr w14:val="tx1"/>
                        </w14:solidFill>
                      </w14:textFill>
                    </w:rPr>
                    <w:t>.0</w:t>
                  </w:r>
                </w:p>
              </w:tc>
              <w:tc>
                <w:tcPr>
                  <w:tcW w:w="223" w:type="pct"/>
                  <w:shd w:val="clear" w:color="auto" w:fill="FFFFFF"/>
                  <w:tcMar>
                    <w:top w:w="0" w:type="dxa"/>
                    <w:left w:w="0" w:type="dxa"/>
                    <w:bottom w:w="0" w:type="dxa"/>
                    <w:right w:w="0" w:type="dxa"/>
                  </w:tcMar>
                  <w:vAlign w:val="center"/>
                </w:tcPr>
                <w:p w14:paraId="1BC8B8DE">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21.2</w:t>
                  </w:r>
                </w:p>
              </w:tc>
              <w:tc>
                <w:tcPr>
                  <w:tcW w:w="193" w:type="pct"/>
                  <w:shd w:val="clear" w:color="auto" w:fill="FFFFFF"/>
                  <w:tcMar>
                    <w:top w:w="0" w:type="dxa"/>
                    <w:left w:w="0" w:type="dxa"/>
                    <w:bottom w:w="0" w:type="dxa"/>
                    <w:right w:w="0" w:type="dxa"/>
                  </w:tcMar>
                  <w:vAlign w:val="center"/>
                </w:tcPr>
                <w:p w14:paraId="7E68DD29">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50.0</w:t>
                  </w:r>
                </w:p>
              </w:tc>
              <w:tc>
                <w:tcPr>
                  <w:tcW w:w="170" w:type="pct"/>
                  <w:shd w:val="clear" w:color="auto" w:fill="FFFFFF"/>
                  <w:tcMar>
                    <w:top w:w="0" w:type="dxa"/>
                    <w:left w:w="0" w:type="dxa"/>
                    <w:bottom w:w="0" w:type="dxa"/>
                    <w:right w:w="0" w:type="dxa"/>
                  </w:tcMar>
                  <w:vAlign w:val="center"/>
                </w:tcPr>
                <w:p w14:paraId="17F956CC">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21.2</w:t>
                  </w:r>
                </w:p>
              </w:tc>
              <w:tc>
                <w:tcPr>
                  <w:tcW w:w="193" w:type="pct"/>
                  <w:shd w:val="clear" w:color="auto" w:fill="FFFFFF"/>
                  <w:tcMar>
                    <w:top w:w="0" w:type="dxa"/>
                    <w:left w:w="0" w:type="dxa"/>
                    <w:bottom w:w="0" w:type="dxa"/>
                    <w:right w:w="0" w:type="dxa"/>
                  </w:tcMar>
                  <w:vAlign w:val="center"/>
                </w:tcPr>
                <w:p w14:paraId="53838EF9">
                  <w:pPr>
                    <w:widowControl/>
                    <w:autoSpaceDE w:val="0"/>
                    <w:autoSpaceDN w:val="0"/>
                    <w:jc w:val="center"/>
                    <w:textAlignment w:val="center"/>
                    <w:rPr>
                      <w:rFonts w:hint="default" w:ascii="Times New Roman" w:hAnsi="Times New Roman" w:eastAsia="Arial"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19.1</w:t>
                  </w:r>
                </w:p>
              </w:tc>
              <w:tc>
                <w:tcPr>
                  <w:tcW w:w="244" w:type="pct"/>
                  <w:shd w:val="clear" w:color="auto" w:fill="FFFFFF"/>
                  <w:tcMar>
                    <w:top w:w="0" w:type="dxa"/>
                    <w:left w:w="0" w:type="dxa"/>
                    <w:bottom w:w="0" w:type="dxa"/>
                    <w:right w:w="0" w:type="dxa"/>
                  </w:tcMar>
                  <w:vAlign w:val="center"/>
                </w:tcPr>
                <w:p w14:paraId="7910CF8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14:textFill>
                        <w14:solidFill>
                          <w14:schemeClr w14:val="tx1"/>
                        </w14:solidFill>
                      </w14:textFill>
                    </w:rPr>
                  </w:pPr>
                  <w:r>
                    <w:rPr>
                      <w:rFonts w:hint="default" w:ascii="Times New Roman" w:hAnsi="Times New Roman" w:cs="Times New Roman"/>
                      <w:bCs/>
                      <w:color w:val="000000" w:themeColor="text1"/>
                      <w:sz w:val="18"/>
                      <w:szCs w:val="18"/>
                      <w:highlight w:val="none"/>
                      <w14:textFill>
                        <w14:solidFill>
                          <w14:schemeClr w14:val="tx1"/>
                        </w14:solidFill>
                      </w14:textFill>
                    </w:rPr>
                    <w:t>1</w:t>
                  </w:r>
                </w:p>
              </w:tc>
            </w:tr>
            <w:tr w14:paraId="3CBBB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97" w:hRule="atLeast"/>
              </w:trPr>
              <w:tc>
                <w:tcPr>
                  <w:tcW w:w="139" w:type="pct"/>
                  <w:shd w:val="clear" w:color="auto" w:fill="FFFFFF"/>
                  <w:tcMar>
                    <w:top w:w="0" w:type="dxa"/>
                    <w:left w:w="0" w:type="dxa"/>
                    <w:bottom w:w="0" w:type="dxa"/>
                    <w:right w:w="0" w:type="dxa"/>
                  </w:tcMar>
                  <w:vAlign w:val="center"/>
                </w:tcPr>
                <w:p w14:paraId="414018B5">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lang w:val="en-US" w:bidi="zh-CN"/>
                      <w14:textFill>
                        <w14:solidFill>
                          <w14:schemeClr w14:val="tx1"/>
                        </w14:solidFill>
                      </w14:textFill>
                    </w:rPr>
                  </w:pPr>
                  <w:bookmarkStart w:id="71" w:name="_Toc25030"/>
                  <w:r>
                    <w:rPr>
                      <w:rFonts w:hint="default" w:ascii="Times New Roman" w:hAnsi="Times New Roman" w:cs="Times New Roman"/>
                      <w:bCs/>
                      <w:color w:val="000000" w:themeColor="text1"/>
                      <w:sz w:val="18"/>
                      <w:szCs w:val="18"/>
                      <w:highlight w:val="none"/>
                      <w:u w:val="single"/>
                      <w:lang w:val="en-US" w:bidi="zh-CN"/>
                      <w14:textFill>
                        <w14:solidFill>
                          <w14:schemeClr w14:val="tx1"/>
                        </w14:solidFill>
                      </w14:textFill>
                    </w:rPr>
                    <w:t>10</w:t>
                  </w:r>
                </w:p>
              </w:tc>
              <w:tc>
                <w:tcPr>
                  <w:tcW w:w="304" w:type="pct"/>
                  <w:shd w:val="clear" w:color="auto" w:fill="FFFFFF"/>
                  <w:tcMar>
                    <w:top w:w="0" w:type="dxa"/>
                    <w:left w:w="0" w:type="dxa"/>
                    <w:bottom w:w="0" w:type="dxa"/>
                    <w:right w:w="0" w:type="dxa"/>
                  </w:tcMar>
                  <w:vAlign w:val="center"/>
                </w:tcPr>
                <w:p w14:paraId="42522AD1">
                  <w:pPr>
                    <w:kinsoku w:val="0"/>
                    <w:overflowPunct w:val="0"/>
                    <w:autoSpaceDE w:val="0"/>
                    <w:autoSpaceDN w:val="0"/>
                    <w:adjustRightInd w:val="0"/>
                    <w:snapToGrid w:val="0"/>
                    <w:jc w:val="center"/>
                    <w:rPr>
                      <w:rFonts w:hint="default" w:ascii="Times New Roman" w:hAnsi="Times New Roman" w:eastAsia="宋体" w:cs="Times New Roman"/>
                      <w:bCs/>
                      <w:color w:val="000000" w:themeColor="text1"/>
                      <w:sz w:val="18"/>
                      <w:szCs w:val="18"/>
                      <w:highlight w:val="none"/>
                      <w:u w:val="single"/>
                      <w:lang w:val="en-US" w:eastAsia="zh-CN"/>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val="en-US" w:eastAsia="zh-CN"/>
                      <w14:textFill>
                        <w14:solidFill>
                          <w14:schemeClr w14:val="tx1"/>
                        </w14:solidFill>
                      </w14:textFill>
                    </w:rPr>
                    <w:t>移动式搅拌机</w:t>
                  </w:r>
                </w:p>
              </w:tc>
              <w:tc>
                <w:tcPr>
                  <w:tcW w:w="267" w:type="pct"/>
                  <w:shd w:val="clear" w:color="auto" w:fill="FFFFFF"/>
                  <w:tcMar>
                    <w:top w:w="0" w:type="dxa"/>
                    <w:left w:w="0" w:type="dxa"/>
                    <w:bottom w:w="0" w:type="dxa"/>
                    <w:right w:w="0" w:type="dxa"/>
                  </w:tcMar>
                  <w:vAlign w:val="center"/>
                </w:tcPr>
                <w:p w14:paraId="1DBC7BB7">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14:textFill>
                        <w14:solidFill>
                          <w14:schemeClr w14:val="tx1"/>
                        </w14:solidFill>
                      </w14:textFill>
                    </w:rPr>
                    <w:t>80</w:t>
                  </w:r>
                </w:p>
              </w:tc>
              <w:tc>
                <w:tcPr>
                  <w:tcW w:w="166" w:type="pct"/>
                  <w:vMerge w:val="continue"/>
                  <w:shd w:val="clear" w:color="auto" w:fill="FFFFFF"/>
                  <w:tcMar>
                    <w:top w:w="0" w:type="dxa"/>
                    <w:left w:w="0" w:type="dxa"/>
                    <w:bottom w:w="0" w:type="dxa"/>
                    <w:right w:w="0" w:type="dxa"/>
                  </w:tcMar>
                  <w:vAlign w:val="center"/>
                </w:tcPr>
                <w:p w14:paraId="63A35F8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p>
              </w:tc>
              <w:tc>
                <w:tcPr>
                  <w:tcW w:w="329" w:type="dxa"/>
                  <w:shd w:val="clear" w:color="auto" w:fill="FFFFFF"/>
                  <w:tcMar>
                    <w:top w:w="0" w:type="dxa"/>
                    <w:left w:w="0" w:type="dxa"/>
                    <w:bottom w:w="0" w:type="dxa"/>
                    <w:right w:w="0" w:type="dxa"/>
                  </w:tcMar>
                  <w:vAlign w:val="center"/>
                </w:tcPr>
                <w:p w14:paraId="34319F44">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14:textFill>
                        <w14:solidFill>
                          <w14:schemeClr w14:val="tx1"/>
                        </w14:solidFill>
                      </w14:textFill>
                    </w:rPr>
                    <w:t>-21.96</w:t>
                  </w:r>
                </w:p>
              </w:tc>
              <w:tc>
                <w:tcPr>
                  <w:tcW w:w="347" w:type="dxa"/>
                  <w:shd w:val="clear" w:color="auto" w:fill="FFFFFF"/>
                  <w:tcMar>
                    <w:top w:w="0" w:type="dxa"/>
                    <w:left w:w="0" w:type="dxa"/>
                    <w:bottom w:w="0" w:type="dxa"/>
                    <w:right w:w="0" w:type="dxa"/>
                  </w:tcMar>
                  <w:vAlign w:val="center"/>
                </w:tcPr>
                <w:p w14:paraId="6C848A0B">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14:textFill>
                        <w14:solidFill>
                          <w14:schemeClr w14:val="tx1"/>
                        </w14:solidFill>
                      </w14:textFill>
                    </w:rPr>
                    <w:t>23.56</w:t>
                  </w:r>
                </w:p>
              </w:tc>
              <w:tc>
                <w:tcPr>
                  <w:tcW w:w="310" w:type="dxa"/>
                  <w:shd w:val="clear" w:color="auto" w:fill="FFFFFF"/>
                  <w:tcMar>
                    <w:top w:w="0" w:type="dxa"/>
                    <w:left w:w="0" w:type="dxa"/>
                    <w:bottom w:w="0" w:type="dxa"/>
                    <w:right w:w="0" w:type="dxa"/>
                  </w:tcMar>
                  <w:vAlign w:val="center"/>
                </w:tcPr>
                <w:p w14:paraId="5C885631">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1.2</w:t>
                  </w:r>
                </w:p>
              </w:tc>
              <w:tc>
                <w:tcPr>
                  <w:tcW w:w="373" w:type="dxa"/>
                  <w:shd w:val="clear" w:color="auto" w:fill="FFFFFF"/>
                  <w:tcMar>
                    <w:top w:w="0" w:type="dxa"/>
                    <w:left w:w="0" w:type="dxa"/>
                    <w:bottom w:w="0" w:type="dxa"/>
                    <w:right w:w="0" w:type="dxa"/>
                  </w:tcMar>
                  <w:vAlign w:val="center"/>
                </w:tcPr>
                <w:p w14:paraId="0955D94E">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63.4</w:t>
                  </w:r>
                </w:p>
              </w:tc>
              <w:tc>
                <w:tcPr>
                  <w:tcW w:w="329" w:type="dxa"/>
                  <w:shd w:val="clear" w:color="auto" w:fill="FFFFFF"/>
                  <w:tcMar>
                    <w:top w:w="0" w:type="dxa"/>
                    <w:left w:w="0" w:type="dxa"/>
                    <w:bottom w:w="0" w:type="dxa"/>
                    <w:right w:w="0" w:type="dxa"/>
                  </w:tcMar>
                  <w:vAlign w:val="center"/>
                </w:tcPr>
                <w:p w14:paraId="749F488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lang w:val="en-US"/>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66.3</w:t>
                  </w:r>
                </w:p>
              </w:tc>
              <w:tc>
                <w:tcPr>
                  <w:tcW w:w="337" w:type="dxa"/>
                  <w:shd w:val="clear" w:color="auto" w:fill="FFFFFF"/>
                  <w:tcMar>
                    <w:top w:w="0" w:type="dxa"/>
                    <w:left w:w="0" w:type="dxa"/>
                    <w:bottom w:w="0" w:type="dxa"/>
                    <w:right w:w="0" w:type="dxa"/>
                  </w:tcMar>
                  <w:vAlign w:val="center"/>
                </w:tcPr>
                <w:p w14:paraId="526CDFF8">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107.5</w:t>
                  </w:r>
                </w:p>
              </w:tc>
              <w:tc>
                <w:tcPr>
                  <w:tcW w:w="325" w:type="dxa"/>
                  <w:shd w:val="clear" w:color="auto" w:fill="FFFFFF"/>
                  <w:tcMar>
                    <w:top w:w="0" w:type="dxa"/>
                    <w:left w:w="0" w:type="dxa"/>
                    <w:bottom w:w="0" w:type="dxa"/>
                    <w:right w:w="0" w:type="dxa"/>
                  </w:tcMar>
                  <w:vAlign w:val="center"/>
                </w:tcPr>
                <w:p w14:paraId="6EBC1752">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40.2</w:t>
                  </w:r>
                </w:p>
              </w:tc>
              <w:tc>
                <w:tcPr>
                  <w:tcW w:w="307" w:type="dxa"/>
                  <w:shd w:val="clear" w:color="auto" w:fill="FFFFFF"/>
                  <w:tcMar>
                    <w:top w:w="0" w:type="dxa"/>
                    <w:left w:w="0" w:type="dxa"/>
                    <w:bottom w:w="0" w:type="dxa"/>
                    <w:right w:w="0" w:type="dxa"/>
                  </w:tcMar>
                  <w:vAlign w:val="center"/>
                </w:tcPr>
                <w:p w14:paraId="295A211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44.0</w:t>
                  </w:r>
                </w:p>
              </w:tc>
              <w:tc>
                <w:tcPr>
                  <w:tcW w:w="315" w:type="dxa"/>
                  <w:shd w:val="clear" w:color="auto" w:fill="FFFFFF"/>
                  <w:tcMar>
                    <w:top w:w="0" w:type="dxa"/>
                    <w:left w:w="0" w:type="dxa"/>
                    <w:bottom w:w="0" w:type="dxa"/>
                    <w:right w:w="0" w:type="dxa"/>
                  </w:tcMar>
                  <w:vAlign w:val="center"/>
                </w:tcPr>
                <w:p w14:paraId="6D518E90">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43.6</w:t>
                  </w:r>
                </w:p>
              </w:tc>
              <w:tc>
                <w:tcPr>
                  <w:tcW w:w="314" w:type="dxa"/>
                  <w:shd w:val="clear" w:color="auto" w:fill="FFFFFF"/>
                  <w:tcMar>
                    <w:top w:w="0" w:type="dxa"/>
                    <w:left w:w="0" w:type="dxa"/>
                    <w:bottom w:w="0" w:type="dxa"/>
                    <w:right w:w="0" w:type="dxa"/>
                  </w:tcMar>
                  <w:vAlign w:val="center"/>
                </w:tcPr>
                <w:p w14:paraId="2D8AF57F">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39.4</w:t>
                  </w:r>
                </w:p>
              </w:tc>
              <w:tc>
                <w:tcPr>
                  <w:tcW w:w="341" w:type="dxa"/>
                  <w:shd w:val="clear" w:color="auto" w:fill="FFFFFF"/>
                  <w:tcMar>
                    <w:top w:w="0" w:type="dxa"/>
                    <w:left w:w="0" w:type="dxa"/>
                    <w:bottom w:w="0" w:type="dxa"/>
                    <w:right w:w="0" w:type="dxa"/>
                  </w:tcMar>
                  <w:vAlign w:val="center"/>
                </w:tcPr>
                <w:p w14:paraId="52AA87AA">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cs="Times New Roman"/>
                      <w:bCs/>
                      <w:color w:val="000000" w:themeColor="text1"/>
                      <w:sz w:val="18"/>
                      <w:szCs w:val="18"/>
                      <w:highlight w:val="none"/>
                      <w:u w:val="single"/>
                      <w:lang w:bidi="zh-CN"/>
                      <w14:textFill>
                        <w14:solidFill>
                          <w14:schemeClr w14:val="tx1"/>
                        </w14:solidFill>
                      </w14:textFill>
                    </w:rPr>
                    <w:t>47.8</w:t>
                  </w:r>
                </w:p>
              </w:tc>
              <w:tc>
                <w:tcPr>
                  <w:tcW w:w="331" w:type="dxa"/>
                  <w:shd w:val="clear" w:color="auto" w:fill="FFFFFF"/>
                  <w:tcMar>
                    <w:top w:w="0" w:type="dxa"/>
                    <w:left w:w="0" w:type="dxa"/>
                    <w:bottom w:w="0" w:type="dxa"/>
                    <w:right w:w="0" w:type="dxa"/>
                  </w:tcMar>
                  <w:vAlign w:val="center"/>
                </w:tcPr>
                <w:p w14:paraId="5900654C">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p>
              </w:tc>
              <w:tc>
                <w:tcPr>
                  <w:tcW w:w="341" w:type="dxa"/>
                  <w:shd w:val="clear" w:color="auto" w:fill="FFFFFF"/>
                  <w:tcMar>
                    <w:top w:w="0" w:type="dxa"/>
                    <w:left w:w="0" w:type="dxa"/>
                    <w:bottom w:w="0" w:type="dxa"/>
                    <w:right w:w="0" w:type="dxa"/>
                  </w:tcMar>
                  <w:vAlign w:val="center"/>
                </w:tcPr>
                <w:p w14:paraId="0854CBCF">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2</w:t>
                  </w:r>
                  <w:r>
                    <w:rPr>
                      <w:rFonts w:hint="default" w:ascii="Times New Roman" w:hAnsi="Times New Roman" w:cs="Times New Roman"/>
                      <w:bCs/>
                      <w:color w:val="000000" w:themeColor="text1"/>
                      <w:sz w:val="18"/>
                      <w:szCs w:val="18"/>
                      <w:highlight w:val="none"/>
                      <w:u w:val="singl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.0</w:t>
                  </w:r>
                </w:p>
              </w:tc>
              <w:tc>
                <w:tcPr>
                  <w:tcW w:w="300" w:type="dxa"/>
                  <w:shd w:val="clear" w:color="auto" w:fill="FFFFFF"/>
                  <w:tcMar>
                    <w:top w:w="0" w:type="dxa"/>
                    <w:left w:w="0" w:type="dxa"/>
                    <w:bottom w:w="0" w:type="dxa"/>
                    <w:right w:w="0" w:type="dxa"/>
                  </w:tcMar>
                  <w:vAlign w:val="center"/>
                </w:tcPr>
                <w:p w14:paraId="6311519B">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2</w:t>
                  </w:r>
                  <w:r>
                    <w:rPr>
                      <w:rFonts w:hint="default" w:ascii="Times New Roman" w:hAnsi="Times New Roman" w:cs="Times New Roman"/>
                      <w:bCs/>
                      <w:color w:val="000000" w:themeColor="text1"/>
                      <w:sz w:val="18"/>
                      <w:szCs w:val="18"/>
                      <w:highlight w:val="none"/>
                      <w:u w:val="singl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.0</w:t>
                  </w:r>
                </w:p>
              </w:tc>
              <w:tc>
                <w:tcPr>
                  <w:tcW w:w="314" w:type="dxa"/>
                  <w:shd w:val="clear" w:color="auto" w:fill="FFFFFF"/>
                  <w:tcMar>
                    <w:top w:w="0" w:type="dxa"/>
                    <w:left w:w="0" w:type="dxa"/>
                    <w:bottom w:w="0" w:type="dxa"/>
                    <w:right w:w="0" w:type="dxa"/>
                  </w:tcMar>
                  <w:vAlign w:val="center"/>
                </w:tcPr>
                <w:p w14:paraId="3538E993">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2</w:t>
                  </w:r>
                  <w:r>
                    <w:rPr>
                      <w:rFonts w:hint="default" w:ascii="Times New Roman" w:hAnsi="Times New Roman" w:cs="Times New Roman"/>
                      <w:bCs/>
                      <w:color w:val="000000" w:themeColor="text1"/>
                      <w:sz w:val="18"/>
                      <w:szCs w:val="18"/>
                      <w:highlight w:val="none"/>
                      <w:u w:val="singl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.0</w:t>
                  </w:r>
                </w:p>
              </w:tc>
              <w:tc>
                <w:tcPr>
                  <w:tcW w:w="327" w:type="dxa"/>
                  <w:shd w:val="clear" w:color="auto" w:fill="FFFFFF"/>
                  <w:tcMar>
                    <w:top w:w="0" w:type="dxa"/>
                    <w:left w:w="0" w:type="dxa"/>
                    <w:bottom w:w="0" w:type="dxa"/>
                    <w:right w:w="0" w:type="dxa"/>
                  </w:tcMar>
                  <w:vAlign w:val="center"/>
                </w:tcPr>
                <w:p w14:paraId="3F09602A">
                  <w:pPr>
                    <w:kinsoku w:val="0"/>
                    <w:overflowPunct w:val="0"/>
                    <w:autoSpaceDE w:val="0"/>
                    <w:autoSpaceDN w:val="0"/>
                    <w:adjustRightInd w:val="0"/>
                    <w:snapToGrid w:val="0"/>
                    <w:jc w:val="cente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2</w:t>
                  </w:r>
                  <w:r>
                    <w:rPr>
                      <w:rFonts w:hint="default" w:ascii="Times New Roman" w:hAnsi="Times New Roman" w:cs="Times New Roman"/>
                      <w:bCs/>
                      <w:color w:val="000000" w:themeColor="text1"/>
                      <w:sz w:val="18"/>
                      <w:szCs w:val="18"/>
                      <w:highlight w:val="none"/>
                      <w:u w:val="single"/>
                      <w14:textFill>
                        <w14:solidFill>
                          <w14:schemeClr w14:val="tx1"/>
                        </w14:solidFill>
                      </w14:textFill>
                    </w:rPr>
                    <w:t>0</w:t>
                  </w: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.0</w:t>
                  </w:r>
                </w:p>
              </w:tc>
              <w:tc>
                <w:tcPr>
                  <w:tcW w:w="378" w:type="dxa"/>
                  <w:shd w:val="clear" w:color="auto" w:fill="FFFFFF"/>
                  <w:tcMar>
                    <w:top w:w="0" w:type="dxa"/>
                    <w:left w:w="0" w:type="dxa"/>
                    <w:bottom w:w="0" w:type="dxa"/>
                    <w:right w:w="0" w:type="dxa"/>
                  </w:tcMar>
                  <w:vAlign w:val="center"/>
                </w:tcPr>
                <w:p w14:paraId="45F7A239">
                  <w:pPr>
                    <w:widowControl/>
                    <w:autoSpaceDE w:val="0"/>
                    <w:autoSpaceDN w:val="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24</w:t>
                  </w:r>
                </w:p>
              </w:tc>
              <w:tc>
                <w:tcPr>
                  <w:tcW w:w="327" w:type="dxa"/>
                  <w:shd w:val="clear" w:color="auto" w:fill="FFFFFF"/>
                  <w:tcMar>
                    <w:top w:w="0" w:type="dxa"/>
                    <w:left w:w="0" w:type="dxa"/>
                    <w:bottom w:w="0" w:type="dxa"/>
                    <w:right w:w="0" w:type="dxa"/>
                  </w:tcMar>
                  <w:vAlign w:val="center"/>
                </w:tcPr>
                <w:p w14:paraId="090A9E2F">
                  <w:pPr>
                    <w:widowControl/>
                    <w:autoSpaceDE w:val="0"/>
                    <w:autoSpaceDN w:val="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23.6</w:t>
                  </w:r>
                </w:p>
              </w:tc>
              <w:tc>
                <w:tcPr>
                  <w:tcW w:w="288" w:type="dxa"/>
                  <w:shd w:val="clear" w:color="auto" w:fill="FFFFFF"/>
                  <w:tcMar>
                    <w:top w:w="0" w:type="dxa"/>
                    <w:left w:w="0" w:type="dxa"/>
                    <w:bottom w:w="0" w:type="dxa"/>
                    <w:right w:w="0" w:type="dxa"/>
                  </w:tcMar>
                  <w:vAlign w:val="center"/>
                </w:tcPr>
                <w:p w14:paraId="5735D8A3">
                  <w:pPr>
                    <w:widowControl/>
                    <w:autoSpaceDE w:val="0"/>
                    <w:autoSpaceDN w:val="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19.4</w:t>
                  </w:r>
                </w:p>
              </w:tc>
              <w:tc>
                <w:tcPr>
                  <w:tcW w:w="328" w:type="dxa"/>
                  <w:shd w:val="clear" w:color="auto" w:fill="FFFFFF"/>
                  <w:tcMar>
                    <w:top w:w="0" w:type="dxa"/>
                    <w:left w:w="0" w:type="dxa"/>
                    <w:bottom w:w="0" w:type="dxa"/>
                    <w:right w:w="0" w:type="dxa"/>
                  </w:tcMar>
                  <w:vAlign w:val="center"/>
                </w:tcPr>
                <w:p w14:paraId="46751E9E">
                  <w:pPr>
                    <w:widowControl/>
                    <w:autoSpaceDE w:val="0"/>
                    <w:autoSpaceDN w:val="0"/>
                    <w:jc w:val="center"/>
                    <w:textAlignment w:val="cente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u w:val="single"/>
                      <w:lang w:bidi="ar"/>
                      <w14:textFill>
                        <w14:solidFill>
                          <w14:schemeClr w14:val="tx1"/>
                        </w14:solidFill>
                      </w14:textFill>
                    </w:rPr>
                    <w:t>27.8</w:t>
                  </w:r>
                </w:p>
              </w:tc>
              <w:tc>
                <w:tcPr>
                  <w:tcW w:w="413" w:type="dxa"/>
                  <w:shd w:val="clear" w:color="auto" w:fill="FFFFFF"/>
                  <w:tcMar>
                    <w:top w:w="0" w:type="dxa"/>
                    <w:left w:w="0" w:type="dxa"/>
                    <w:bottom w:w="0" w:type="dxa"/>
                    <w:right w:w="0" w:type="dxa"/>
                  </w:tcMar>
                  <w:vAlign w:val="center"/>
                </w:tcPr>
                <w:p w14:paraId="34D54B19">
                  <w:pPr>
                    <w:kinsoku w:val="0"/>
                    <w:overflowPunct w:val="0"/>
                    <w:autoSpaceDE w:val="0"/>
                    <w:autoSpaceDN w:val="0"/>
                    <w:adjustRightInd w:val="0"/>
                    <w:snapToGrid w:val="0"/>
                    <w:jc w:val="center"/>
                    <w:rPr>
                      <w:rFonts w:hint="default" w:ascii="Times New Roman" w:hAnsi="Times New Roman" w:cs="Times New Roman"/>
                      <w:bCs/>
                      <w:color w:val="000000" w:themeColor="text1"/>
                      <w:sz w:val="18"/>
                      <w:szCs w:val="18"/>
                      <w:highlight w:val="none"/>
                      <w:u w:val="single"/>
                      <w14:textFill>
                        <w14:solidFill>
                          <w14:schemeClr w14:val="tx1"/>
                        </w14:solidFill>
                      </w14:textFill>
                    </w:rPr>
                  </w:pPr>
                  <w:r>
                    <w:rPr>
                      <w:rFonts w:hint="default" w:ascii="Times New Roman" w:hAnsi="Times New Roman" w:eastAsia="Arial" w:cs="Times New Roman"/>
                      <w:bCs/>
                      <w:color w:val="000000" w:themeColor="text1"/>
                      <w:sz w:val="18"/>
                      <w:szCs w:val="18"/>
                      <w:highlight w:val="none"/>
                      <w:u w:val="single"/>
                      <w14:textFill>
                        <w14:solidFill>
                          <w14:schemeClr w14:val="tx1"/>
                        </w14:solidFill>
                      </w14:textFill>
                    </w:rPr>
                    <w:t>1</w:t>
                  </w:r>
                </w:p>
              </w:tc>
            </w:tr>
          </w:tbl>
          <w:p w14:paraId="287D9C6D">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2、预测模型</w:t>
            </w:r>
            <w:bookmarkEnd w:id="71"/>
          </w:p>
          <w:p w14:paraId="75E6D61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根据项目建设内容及《环境影响评价技术导则—声环境》（HJ2.4-2021）的要求，项目环评采用的模型为《环境影响评价技术导则 声环境》（HJ2.4.2021）附录B（规范性附录）中“B.1工业噪声预测计算模型”。</w:t>
            </w:r>
          </w:p>
          <w:p w14:paraId="33B1128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（1）室内声源在预测点的声压级计算</w:t>
            </w:r>
          </w:p>
          <w:p w14:paraId="2B2129A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①首先计算某个室内声源在靠近围护结构处产生的倍频带声压级：</w:t>
            </w:r>
          </w:p>
          <w:p w14:paraId="3247A643">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887855" cy="451485"/>
                  <wp:effectExtent l="0" t="0" r="17145" b="5715"/>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32"/>
                          <a:stretch>
                            <a:fillRect/>
                          </a:stretch>
                        </pic:blipFill>
                        <pic:spPr>
                          <a:xfrm>
                            <a:off x="0" y="0"/>
                            <a:ext cx="1887855" cy="451485"/>
                          </a:xfrm>
                          <a:prstGeom prst="rect">
                            <a:avLst/>
                          </a:prstGeom>
                          <a:noFill/>
                          <a:ln>
                            <a:noFill/>
                          </a:ln>
                        </pic:spPr>
                      </pic:pic>
                    </a:graphicData>
                  </a:graphic>
                </wp:inline>
              </w:drawing>
            </w:r>
          </w:p>
          <w:p w14:paraId="01C233D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124B1D8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p1</w:t>
            </w:r>
            <w:r>
              <w:rPr>
                <w:rFonts w:hint="default" w:ascii="Times New Roman" w:hAnsi="Times New Roman" w:cs="Times New Roman"/>
                <w:color w:val="000000" w:themeColor="text1"/>
                <w:sz w:val="24"/>
                <w:highlight w:val="none"/>
                <w14:textFill>
                  <w14:solidFill>
                    <w14:schemeClr w14:val="tx1"/>
                  </w14:solidFill>
                </w14:textFill>
              </w:rPr>
              <w:t>—靠近开口处（或窗户）室内某倍频带的声压级或A声级，dB（A）；</w:t>
            </w:r>
          </w:p>
          <w:p w14:paraId="66B9029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w</w:t>
            </w:r>
            <w:r>
              <w:rPr>
                <w:rFonts w:hint="default" w:ascii="Times New Roman" w:hAnsi="Times New Roman" w:cs="Times New Roman"/>
                <w:color w:val="000000" w:themeColor="text1"/>
                <w:sz w:val="24"/>
                <w:highlight w:val="none"/>
                <w14:textFill>
                  <w14:solidFill>
                    <w14:schemeClr w14:val="tx1"/>
                  </w14:solidFill>
                </w14:textFill>
              </w:rPr>
              <w:t>—点声源声功率级（A计权或倍频带），dB（A）；</w:t>
            </w:r>
          </w:p>
          <w:p w14:paraId="62A521F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Q—指向性因数；通常对无指向性声源，当声源放在房间中心时，Q=1；当放在一面墙的中心时，Q=2；当放在两面墙夹角处时，Q=4；当放在三面墙夹角处时，Q=8。</w:t>
            </w:r>
          </w:p>
          <w:p w14:paraId="7414C2A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R—房间常数；R=Sα/(1-α)，S为房间内表面面积，m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；α为平均吸声系数。</w:t>
            </w:r>
          </w:p>
          <w:p w14:paraId="5B7CEDF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r—声源到靠近围护结构某点处的距离，m。</w:t>
            </w:r>
          </w:p>
          <w:p w14:paraId="62C2007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②计算所有室内声源在靠近围护结构处产生的总声压级</w:t>
            </w:r>
          </w:p>
          <w:p w14:paraId="47987FA4">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432560" cy="428625"/>
                  <wp:effectExtent l="0" t="0" r="15240" b="952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33"/>
                          <a:stretch>
                            <a:fillRect/>
                          </a:stretch>
                        </pic:blipFill>
                        <pic:spPr>
                          <a:xfrm>
                            <a:off x="0" y="0"/>
                            <a:ext cx="1432560" cy="428625"/>
                          </a:xfrm>
                          <a:prstGeom prst="rect">
                            <a:avLst/>
                          </a:prstGeom>
                          <a:noFill/>
                          <a:ln>
                            <a:noFill/>
                          </a:ln>
                        </pic:spPr>
                      </pic:pic>
                    </a:graphicData>
                  </a:graphic>
                </wp:inline>
              </w:drawing>
            </w:r>
          </w:p>
          <w:p w14:paraId="4065891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1248773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pli</w:t>
            </w:r>
            <w:r>
              <w:rPr>
                <w:rFonts w:hint="default" w:ascii="Times New Roman" w:hAnsi="Times New Roman" w:cs="Times New Roman"/>
                <w:color w:val="000000" w:themeColor="text1"/>
                <w:sz w:val="24"/>
                <w:highlight w:val="none"/>
                <w14:textFill>
                  <w14:solidFill>
                    <w14:schemeClr w14:val="tx1"/>
                  </w14:solidFill>
                </w14:textFill>
              </w:rPr>
              <w:t>（T）—靠近围护结构处室内N个声源i倍频带的叠加声压级，dB(A)；</w:t>
            </w:r>
          </w:p>
          <w:p w14:paraId="0112669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plij</w:t>
            </w:r>
            <w:r>
              <w:rPr>
                <w:rFonts w:hint="default" w:ascii="Times New Roman" w:hAnsi="Times New Roman" w:cs="Times New Roman"/>
                <w:color w:val="000000" w:themeColor="text1"/>
                <w:sz w:val="24"/>
                <w:highlight w:val="none"/>
                <w14:textFill>
                  <w14:solidFill>
                    <w14:schemeClr w14:val="tx1"/>
                  </w14:solidFill>
                </w14:textFill>
              </w:rPr>
              <w:t>—室内j声源i倍频带的声压级，dB(A)；</w:t>
            </w:r>
          </w:p>
          <w:p w14:paraId="39F6F1D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n—室内声源总数。</w:t>
            </w:r>
          </w:p>
          <w:p w14:paraId="51A7D0E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③计算室外靠近围护结构处的声压级</w:t>
            </w:r>
          </w:p>
          <w:p w14:paraId="2E05AAB3">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761490" cy="267335"/>
                  <wp:effectExtent l="0" t="0" r="10160" b="1841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34"/>
                          <a:stretch>
                            <a:fillRect/>
                          </a:stretch>
                        </pic:blipFill>
                        <pic:spPr>
                          <a:xfrm>
                            <a:off x="0" y="0"/>
                            <a:ext cx="1761490" cy="267335"/>
                          </a:xfrm>
                          <a:prstGeom prst="rect">
                            <a:avLst/>
                          </a:prstGeom>
                          <a:noFill/>
                          <a:ln>
                            <a:noFill/>
                          </a:ln>
                        </pic:spPr>
                      </pic:pic>
                    </a:graphicData>
                  </a:graphic>
                </wp:inline>
              </w:drawing>
            </w:r>
          </w:p>
          <w:p w14:paraId="2A724FC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7E6B21F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p2i</w:t>
            </w:r>
            <w:r>
              <w:rPr>
                <w:rFonts w:hint="default" w:ascii="Times New Roman" w:hAnsi="Times New Roman" w:cs="Times New Roman"/>
                <w:color w:val="000000" w:themeColor="text1"/>
                <w:sz w:val="24"/>
                <w:highlight w:val="none"/>
                <w14:textFill>
                  <w14:solidFill>
                    <w14:schemeClr w14:val="tx1"/>
                  </w14:solidFill>
                </w14:textFill>
              </w:rPr>
              <w:t>（T）——靠近围护结构处室外N个声源i倍频带的叠加声压级，dB(A)；</w:t>
            </w:r>
          </w:p>
          <w:p w14:paraId="6F03D68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pli</w:t>
            </w:r>
            <w:r>
              <w:rPr>
                <w:rFonts w:hint="default" w:ascii="Times New Roman" w:hAnsi="Times New Roman" w:cs="Times New Roman"/>
                <w:color w:val="000000" w:themeColor="text1"/>
                <w:sz w:val="24"/>
                <w:highlight w:val="none"/>
                <w14:textFill>
                  <w14:solidFill>
                    <w14:schemeClr w14:val="tx1"/>
                  </w14:solidFill>
                </w14:textFill>
              </w:rPr>
              <w:t>（T）——靠近围护结构处室内N个声源i倍频带的叠加声压级，dB(A)；</w:t>
            </w:r>
          </w:p>
          <w:p w14:paraId="014AD1F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TL</w:t>
            </w:r>
            <w:r>
              <w:rPr>
                <w:rFonts w:hint="default" w:ascii="Times New Roman" w:hAnsi="Times New Roman" w:cs="Times New Roman"/>
                <w:color w:val="000000" w:themeColor="text1"/>
                <w:sz w:val="24"/>
                <w:highlight w:val="none"/>
                <w:vertAlign w:val="subscript"/>
                <w14:textFill>
                  <w14:solidFill>
                    <w14:schemeClr w14:val="tx1"/>
                  </w14:solidFill>
                </w14:textFill>
              </w:rPr>
              <w:t>i</w:t>
            </w:r>
            <w:r>
              <w:rPr>
                <w:rFonts w:hint="default" w:ascii="Times New Roman" w:hAnsi="Times New Roman" w:cs="Times New Roman"/>
                <w:color w:val="000000" w:themeColor="text1"/>
                <w:sz w:val="24"/>
                <w:highlight w:val="none"/>
                <w14:textFill>
                  <w14:solidFill>
                    <w14:schemeClr w14:val="tx1"/>
                  </w14:solidFill>
                </w14:textFill>
              </w:rPr>
              <w:t>——围护结构i倍频带的隔声量，dB(A)；</w:t>
            </w:r>
          </w:p>
          <w:p w14:paraId="2E64C1A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④将室外声源的声压级和透过面积换算成等效的室外声源，计算出中心位置位于透声面积（S）处的等效声源的倍频带声功率级：</w:t>
            </w:r>
          </w:p>
          <w:p w14:paraId="6A64DE02">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428750" cy="231775"/>
                  <wp:effectExtent l="0" t="0" r="0" b="15875"/>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35"/>
                          <a:stretch>
                            <a:fillRect/>
                          </a:stretch>
                        </pic:blipFill>
                        <pic:spPr>
                          <a:xfrm>
                            <a:off x="0" y="0"/>
                            <a:ext cx="1428750" cy="231775"/>
                          </a:xfrm>
                          <a:prstGeom prst="rect">
                            <a:avLst/>
                          </a:prstGeom>
                          <a:noFill/>
                          <a:ln>
                            <a:noFill/>
                          </a:ln>
                        </pic:spPr>
                      </pic:pic>
                    </a:graphicData>
                  </a:graphic>
                </wp:inline>
              </w:drawing>
            </w:r>
          </w:p>
          <w:p w14:paraId="3AA5D1A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0667AFA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w</w:t>
            </w:r>
            <w:r>
              <w:rPr>
                <w:rFonts w:hint="default" w:ascii="Times New Roman" w:hAnsi="Times New Roman" w:cs="Times New Roman"/>
                <w:color w:val="000000" w:themeColor="text1"/>
                <w:sz w:val="24"/>
                <w:highlight w:val="none"/>
                <w14:textFill>
                  <w14:solidFill>
                    <w14:schemeClr w14:val="tx1"/>
                  </w14:solidFill>
                </w14:textFill>
              </w:rPr>
              <w:t>——中心位置位于透声面积（S）处的等效声源的倍频带声功率级，dB(A)；</w:t>
            </w:r>
          </w:p>
          <w:p w14:paraId="52CA934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p2</w:t>
            </w:r>
            <w:r>
              <w:rPr>
                <w:rFonts w:hint="default" w:ascii="Times New Roman" w:hAnsi="Times New Roman" w:cs="Times New Roman"/>
                <w:color w:val="000000" w:themeColor="text1"/>
                <w:sz w:val="24"/>
                <w:highlight w:val="none"/>
                <w14:textFill>
                  <w14:solidFill>
                    <w14:schemeClr w14:val="tx1"/>
                  </w14:solidFill>
                </w14:textFill>
              </w:rPr>
              <w:t>（T）——靠近围护结构处室外声源的声压级，dB(A)；</w:t>
            </w:r>
          </w:p>
          <w:p w14:paraId="4080DD1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S——透声面积，m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14:paraId="2AAD999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⑤等效室外声源的位置为围护结构的位置，其声功率级为L</w:t>
            </w:r>
            <w:r>
              <w:rPr>
                <w:rFonts w:hint="default" w:ascii="Times New Roman" w:hAnsi="Times New Roman" w:cs="Times New Roman"/>
                <w:color w:val="000000" w:themeColor="text1"/>
                <w:sz w:val="24"/>
                <w:highlight w:val="none"/>
                <w:vertAlign w:val="subscript"/>
                <w14:textFill>
                  <w14:solidFill>
                    <w14:schemeClr w14:val="tx1"/>
                  </w14:solidFill>
                </w14:textFill>
              </w:rPr>
              <w:t>w</w:t>
            </w:r>
            <w:r>
              <w:rPr>
                <w:rFonts w:hint="default" w:ascii="Times New Roman" w:hAnsi="Times New Roman" w:cs="Times New Roman"/>
                <w:color w:val="000000" w:themeColor="text1"/>
                <w:sz w:val="24"/>
                <w:highlight w:val="none"/>
                <w14:textFill>
                  <w14:solidFill>
                    <w14:schemeClr w14:val="tx1"/>
                  </w14:solidFill>
                </w14:textFill>
              </w:rPr>
              <w:t>，由此计算等效声源在预测点产生的声级。</w:t>
            </w:r>
          </w:p>
          <w:p w14:paraId="60E9E31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（2）总声级的计算</w:t>
            </w:r>
          </w:p>
          <w:p w14:paraId="07BA9E4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设第i个室外声源在预测点产生的A声级为L</w:t>
            </w:r>
            <w:r>
              <w:rPr>
                <w:rFonts w:hint="default" w:ascii="Times New Roman" w:hAnsi="Times New Roman" w:cs="Times New Roman"/>
                <w:color w:val="000000" w:themeColor="text1"/>
                <w:sz w:val="24"/>
                <w:highlight w:val="none"/>
                <w:vertAlign w:val="subscript"/>
                <w14:textFill>
                  <w14:solidFill>
                    <w14:schemeClr w14:val="tx1"/>
                  </w14:solidFill>
                </w14:textFill>
              </w:rPr>
              <w:t>Ai</w:t>
            </w:r>
            <w:r>
              <w:rPr>
                <w:rFonts w:hint="default" w:ascii="Times New Roman" w:hAnsi="Times New Roman" w:cs="Times New Roman"/>
                <w:color w:val="000000" w:themeColor="text1"/>
                <w:sz w:val="24"/>
                <w:highlight w:val="none"/>
                <w14:textFill>
                  <w14:solidFill>
                    <w14:schemeClr w14:val="tx1"/>
                  </w14:solidFill>
                </w14:textFill>
              </w:rPr>
              <w:t>，在T时间内该声源工作时间为t</w:t>
            </w:r>
            <w:r>
              <w:rPr>
                <w:rFonts w:hint="default" w:ascii="Times New Roman" w:hAnsi="Times New Roman" w:cs="Times New Roman"/>
                <w:color w:val="000000" w:themeColor="text1"/>
                <w:sz w:val="24"/>
                <w:highlight w:val="none"/>
                <w:vertAlign w:val="subscript"/>
                <w14:textFill>
                  <w14:solidFill>
                    <w14:schemeClr w14:val="tx1"/>
                  </w14:solidFill>
                </w14:textFill>
              </w:rPr>
              <w:t>i</w:t>
            </w:r>
            <w:r>
              <w:rPr>
                <w:rFonts w:hint="default" w:ascii="Times New Roman" w:hAnsi="Times New Roman" w:cs="Times New Roman"/>
                <w:color w:val="000000" w:themeColor="text1"/>
                <w:sz w:val="24"/>
                <w:highlight w:val="none"/>
                <w14:textFill>
                  <w14:solidFill>
                    <w14:schemeClr w14:val="tx1"/>
                  </w14:solidFill>
                </w14:textFill>
              </w:rPr>
              <w:t>；第j个等效室外声源在预测点产生的A声级为L</w:t>
            </w:r>
            <w:r>
              <w:rPr>
                <w:rFonts w:hint="default" w:ascii="Times New Roman" w:hAnsi="Times New Roman" w:cs="Times New Roman"/>
                <w:color w:val="000000" w:themeColor="text1"/>
                <w:sz w:val="24"/>
                <w:highlight w:val="none"/>
                <w:vertAlign w:val="subscript"/>
                <w14:textFill>
                  <w14:solidFill>
                    <w14:schemeClr w14:val="tx1"/>
                  </w14:solidFill>
                </w14:textFill>
              </w:rPr>
              <w:t>Aj</w:t>
            </w:r>
            <w:r>
              <w:rPr>
                <w:rFonts w:hint="default" w:ascii="Times New Roman" w:hAnsi="Times New Roman" w:cs="Times New Roman"/>
                <w:color w:val="000000" w:themeColor="text1"/>
                <w:sz w:val="24"/>
                <w:highlight w:val="none"/>
                <w14:textFill>
                  <w14:solidFill>
                    <w14:schemeClr w14:val="tx1"/>
                  </w14:solidFill>
                </w14:textFill>
              </w:rPr>
              <w:t>，在T时间内该声源工作时间为t</w:t>
            </w:r>
            <w:r>
              <w:rPr>
                <w:rFonts w:hint="default" w:ascii="Times New Roman" w:hAnsi="Times New Roman" w:cs="Times New Roman"/>
                <w:color w:val="000000" w:themeColor="text1"/>
                <w:sz w:val="24"/>
                <w:highlight w:val="none"/>
                <w:vertAlign w:val="subscript"/>
                <w14:textFill>
                  <w14:solidFill>
                    <w14:schemeClr w14:val="tx1"/>
                  </w14:solidFill>
                </w14:textFill>
              </w:rPr>
              <w:t>j</w:t>
            </w:r>
            <w:r>
              <w:rPr>
                <w:rFonts w:hint="default" w:ascii="Times New Roman" w:hAnsi="Times New Roman" w:cs="Times New Roman"/>
                <w:color w:val="000000" w:themeColor="text1"/>
                <w:sz w:val="24"/>
                <w:highlight w:val="none"/>
                <w14:textFill>
                  <w14:solidFill>
                    <w14:schemeClr w14:val="tx1"/>
                  </w14:solidFill>
                </w14:textFill>
              </w:rPr>
              <w:t>，则拟建工程声源对预测点产生的贡献值（L</w:t>
            </w:r>
            <w:r>
              <w:rPr>
                <w:rFonts w:hint="default" w:ascii="Times New Roman" w:hAnsi="Times New Roman" w:cs="Times New Roman"/>
                <w:color w:val="000000" w:themeColor="text1"/>
                <w:sz w:val="24"/>
                <w:highlight w:val="none"/>
                <w:vertAlign w:val="subscript"/>
                <w14:textFill>
                  <w14:solidFill>
                    <w14:schemeClr w14:val="tx1"/>
                  </w14:solidFill>
                </w14:textFill>
              </w:rPr>
              <w:t>eqg</w:t>
            </w:r>
            <w:r>
              <w:rPr>
                <w:rFonts w:hint="default" w:ascii="Times New Roman" w:hAnsi="Times New Roman" w:cs="Times New Roman"/>
                <w:color w:val="000000" w:themeColor="text1"/>
                <w:sz w:val="24"/>
                <w:highlight w:val="none"/>
                <w14:textFill>
                  <w14:solidFill>
                    <w14:schemeClr w14:val="tx1"/>
                  </w14:solidFill>
                </w14:textFill>
              </w:rPr>
              <w:t>）为：</w:t>
            </w:r>
          </w:p>
          <w:p w14:paraId="1D572CB1">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743835" cy="504190"/>
                  <wp:effectExtent l="0" t="0" r="18415" b="10160"/>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36"/>
                          <a:stretch>
                            <a:fillRect/>
                          </a:stretch>
                        </pic:blipFill>
                        <pic:spPr>
                          <a:xfrm>
                            <a:off x="0" y="0"/>
                            <a:ext cx="2743835" cy="504190"/>
                          </a:xfrm>
                          <a:prstGeom prst="rect">
                            <a:avLst/>
                          </a:prstGeom>
                          <a:noFill/>
                          <a:ln>
                            <a:noFill/>
                          </a:ln>
                        </pic:spPr>
                      </pic:pic>
                    </a:graphicData>
                  </a:graphic>
                </wp:inline>
              </w:drawing>
            </w:r>
          </w:p>
          <w:p w14:paraId="345A316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03272C7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vertAlign w:val="subscript"/>
                <w14:textFill>
                  <w14:solidFill>
                    <w14:schemeClr w14:val="tx1"/>
                  </w14:solidFill>
                </w14:textFill>
              </w:rPr>
              <w:t>eqg</w:t>
            </w:r>
            <w:r>
              <w:rPr>
                <w:rFonts w:hint="default" w:ascii="Times New Roman" w:hAnsi="Times New Roman" w:cs="Times New Roman"/>
                <w:color w:val="000000" w:themeColor="text1"/>
                <w:sz w:val="24"/>
                <w:highlight w:val="none"/>
                <w14:textFill>
                  <w14:solidFill>
                    <w14:schemeClr w14:val="tx1"/>
                  </w14:solidFill>
                </w14:textFill>
              </w:rPr>
              <w:t>——建设项目声源在预测点产生的噪声贡献值，dB；</w:t>
            </w:r>
          </w:p>
          <w:p w14:paraId="10E1B37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T——用于计算等效声级的时间，s；</w:t>
            </w:r>
          </w:p>
          <w:p w14:paraId="3DAE94B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N——室外声源个数；</w:t>
            </w:r>
          </w:p>
          <w:p w14:paraId="6D8C92C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w:t>
            </w:r>
            <w:r>
              <w:rPr>
                <w:rFonts w:hint="default" w:ascii="Times New Roman" w:hAnsi="Times New Roman" w:cs="Times New Roman"/>
                <w:color w:val="000000" w:themeColor="text1"/>
                <w:sz w:val="24"/>
                <w:highlight w:val="none"/>
                <w:vertAlign w:val="subscript"/>
                <w14:textFill>
                  <w14:solidFill>
                    <w14:schemeClr w14:val="tx1"/>
                  </w14:solidFill>
                </w14:textFill>
              </w:rPr>
              <w:t>i</w:t>
            </w:r>
            <w:r>
              <w:rPr>
                <w:rFonts w:hint="default" w:ascii="Times New Roman" w:hAnsi="Times New Roman" w:cs="Times New Roman"/>
                <w:color w:val="000000" w:themeColor="text1"/>
                <w:sz w:val="24"/>
                <w:highlight w:val="none"/>
                <w14:textFill>
                  <w14:solidFill>
                    <w14:schemeClr w14:val="tx1"/>
                  </w14:solidFill>
                </w14:textFill>
              </w:rPr>
              <w:t>——在T时间内i声源工作时间，s；</w:t>
            </w:r>
          </w:p>
          <w:p w14:paraId="44E731F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M——等效室外声源个数；</w:t>
            </w:r>
          </w:p>
          <w:p w14:paraId="74746C3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w:t>
            </w:r>
            <w:r>
              <w:rPr>
                <w:rFonts w:hint="default" w:ascii="Times New Roman" w:hAnsi="Times New Roman" w:cs="Times New Roman"/>
                <w:color w:val="000000" w:themeColor="text1"/>
                <w:sz w:val="24"/>
                <w:highlight w:val="none"/>
                <w:vertAlign w:val="subscript"/>
                <w14:textFill>
                  <w14:solidFill>
                    <w14:schemeClr w14:val="tx1"/>
                  </w14:solidFill>
                </w14:textFill>
              </w:rPr>
              <w:t>j</w:t>
            </w:r>
            <w:r>
              <w:rPr>
                <w:rFonts w:hint="default" w:ascii="Times New Roman" w:hAnsi="Times New Roman" w:cs="Times New Roman"/>
                <w:color w:val="000000" w:themeColor="text1"/>
                <w:sz w:val="24"/>
                <w:highlight w:val="none"/>
                <w14:textFill>
                  <w14:solidFill>
                    <w14:schemeClr w14:val="tx1"/>
                  </w14:solidFill>
                </w14:textFill>
              </w:rPr>
              <w:t>——在T时间内j声源工作时间，s。</w:t>
            </w:r>
          </w:p>
          <w:p w14:paraId="3168E050">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72" w:name="_Toc21448"/>
            <w:bookmarkStart w:id="73" w:name="_Toc22483"/>
            <w:r>
              <w:rPr>
                <w:rFonts w:hint="default" w:ascii="Times New Roman" w:hAnsi="Times New Roman" w:cs="Times New Roman"/>
                <w:b/>
                <w:bCs/>
                <w:color w:val="000000" w:themeColor="text1"/>
                <w:sz w:val="24"/>
                <w:highlight w:val="none"/>
                <w14:textFill>
                  <w14:solidFill>
                    <w14:schemeClr w14:val="tx1"/>
                  </w14:solidFill>
                </w14:textFill>
              </w:rPr>
              <w:t>3、预测参数的确定</w:t>
            </w:r>
            <w:bookmarkEnd w:id="72"/>
            <w:bookmarkEnd w:id="73"/>
          </w:p>
          <w:p w14:paraId="1F721EA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（1）窗户的平均隔声量TL取经验值，10—20dB(A)。</w:t>
            </w:r>
          </w:p>
          <w:p w14:paraId="780DB77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（2）声波几何发散引起的A声级衰减量：</w:t>
            </w:r>
          </w:p>
          <w:p w14:paraId="41452EA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a、点声源；</w:t>
            </w:r>
          </w:p>
          <w:p w14:paraId="161C447E">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047750" cy="280035"/>
                  <wp:effectExtent l="0" t="0" r="0" b="5715"/>
                  <wp:docPr id="1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pic:cNvPicPr>
                            <a:picLocks noChangeAspect="1"/>
                          </pic:cNvPicPr>
                        </pic:nvPicPr>
                        <pic:blipFill>
                          <a:blip r:embed="rId37"/>
                          <a:stretch>
                            <a:fillRect/>
                          </a:stretch>
                        </pic:blipFill>
                        <pic:spPr>
                          <a:xfrm>
                            <a:off x="0" y="0"/>
                            <a:ext cx="1047750" cy="280035"/>
                          </a:xfrm>
                          <a:prstGeom prst="rect">
                            <a:avLst/>
                          </a:prstGeom>
                          <a:noFill/>
                          <a:ln>
                            <a:noFill/>
                          </a:ln>
                        </pic:spPr>
                      </pic:pic>
                    </a:graphicData>
                  </a:graphic>
                </wp:inline>
              </w:drawing>
            </w:r>
          </w:p>
          <w:p w14:paraId="557C5E9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b、有限长（长度L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，m）线声源：Lp（r）。</w:t>
            </w:r>
          </w:p>
          <w:p w14:paraId="1F46291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当r&gt;L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且r</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&gt;L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时：</w:t>
            </w:r>
          </w:p>
          <w:p w14:paraId="61A232F6">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650365" cy="266700"/>
                  <wp:effectExtent l="0" t="0" r="6985" b="0"/>
                  <wp:docPr id="2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pic:cNvPicPr>
                            <a:picLocks noChangeAspect="1"/>
                          </pic:cNvPicPr>
                        </pic:nvPicPr>
                        <pic:blipFill>
                          <a:blip r:embed="rId38"/>
                          <a:stretch>
                            <a:fillRect/>
                          </a:stretch>
                        </pic:blipFill>
                        <pic:spPr>
                          <a:xfrm>
                            <a:off x="0" y="0"/>
                            <a:ext cx="1650365" cy="266700"/>
                          </a:xfrm>
                          <a:prstGeom prst="rect">
                            <a:avLst/>
                          </a:prstGeom>
                          <a:noFill/>
                          <a:ln>
                            <a:noFill/>
                          </a:ln>
                        </pic:spPr>
                      </pic:pic>
                    </a:graphicData>
                  </a:graphic>
                </wp:inline>
              </w:drawing>
            </w:r>
          </w:p>
          <w:p w14:paraId="2689F3A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当r&lt;L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/3且r</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&lt;L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/3时：</w:t>
            </w:r>
          </w:p>
          <w:p w14:paraId="1554A01D">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670050" cy="246380"/>
                  <wp:effectExtent l="0" t="0" r="6350" b="1270"/>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39"/>
                          <a:stretch>
                            <a:fillRect/>
                          </a:stretch>
                        </pic:blipFill>
                        <pic:spPr>
                          <a:xfrm>
                            <a:off x="0" y="0"/>
                            <a:ext cx="1670050" cy="246380"/>
                          </a:xfrm>
                          <a:prstGeom prst="rect">
                            <a:avLst/>
                          </a:prstGeom>
                          <a:noFill/>
                          <a:ln>
                            <a:noFill/>
                          </a:ln>
                        </pic:spPr>
                      </pic:pic>
                    </a:graphicData>
                  </a:graphic>
                </wp:inline>
              </w:drawing>
            </w:r>
          </w:p>
          <w:p w14:paraId="6A8F419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/3&lt;r&lt;L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且L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/3&lt;r</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&lt;L</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时：</w:t>
            </w:r>
          </w:p>
          <w:p w14:paraId="14D41B85">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793240" cy="269875"/>
                  <wp:effectExtent l="0" t="0" r="16510" b="15875"/>
                  <wp:docPr id="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pic:cNvPicPr>
                            <a:picLocks noChangeAspect="1"/>
                          </pic:cNvPicPr>
                        </pic:nvPicPr>
                        <pic:blipFill>
                          <a:blip r:embed="rId40"/>
                          <a:stretch>
                            <a:fillRect/>
                          </a:stretch>
                        </pic:blipFill>
                        <pic:spPr>
                          <a:xfrm>
                            <a:off x="0" y="0"/>
                            <a:ext cx="1793240" cy="269875"/>
                          </a:xfrm>
                          <a:prstGeom prst="rect">
                            <a:avLst/>
                          </a:prstGeom>
                          <a:noFill/>
                          <a:ln>
                            <a:noFill/>
                          </a:ln>
                        </pic:spPr>
                      </pic:pic>
                    </a:graphicData>
                  </a:graphic>
                </wp:inline>
              </w:drawing>
            </w:r>
          </w:p>
          <w:p w14:paraId="283072B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（3）空气吸收衰减量A</w:t>
            </w:r>
            <w:r>
              <w:rPr>
                <w:rFonts w:hint="default" w:ascii="Times New Roman" w:hAnsi="Times New Roman" w:cs="Times New Roman"/>
                <w:color w:val="000000" w:themeColor="text1"/>
                <w:sz w:val="24"/>
                <w:highlight w:val="none"/>
                <w:vertAlign w:val="subscript"/>
                <w14:textFill>
                  <w14:solidFill>
                    <w14:schemeClr w14:val="tx1"/>
                  </w14:solidFill>
                </w14:textFill>
              </w:rPr>
              <w:t>atm</w:t>
            </w:r>
            <w:r>
              <w:rPr>
                <w:rFonts w:hint="default" w:ascii="Times New Roman" w:hAnsi="Times New Roman" w:cs="Times New Roman"/>
                <w:color w:val="000000" w:themeColor="text1"/>
                <w:sz w:val="24"/>
                <w:highlight w:val="none"/>
                <w14:textFill>
                  <w14:solidFill>
                    <w14:schemeClr w14:val="tx1"/>
                  </w14:solidFill>
                </w14:textFill>
              </w:rPr>
              <w:t>：</w:t>
            </w:r>
          </w:p>
          <w:p w14:paraId="65AEAA0E">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1162050" cy="424815"/>
                  <wp:effectExtent l="0" t="0" r="0" b="13335"/>
                  <wp:docPr id="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pic:cNvPicPr>
                            <a:picLocks noChangeAspect="1"/>
                          </pic:cNvPicPr>
                        </pic:nvPicPr>
                        <pic:blipFill>
                          <a:blip r:embed="rId41"/>
                          <a:stretch>
                            <a:fillRect/>
                          </a:stretch>
                        </pic:blipFill>
                        <pic:spPr>
                          <a:xfrm>
                            <a:off x="0" y="0"/>
                            <a:ext cx="1162050" cy="424815"/>
                          </a:xfrm>
                          <a:prstGeom prst="rect">
                            <a:avLst/>
                          </a:prstGeom>
                          <a:noFill/>
                          <a:ln>
                            <a:noFill/>
                          </a:ln>
                        </pic:spPr>
                      </pic:pic>
                    </a:graphicData>
                  </a:graphic>
                </wp:inline>
              </w:drawing>
            </w:r>
          </w:p>
          <w:p w14:paraId="78BEBC6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484F2CD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w:t>
            </w:r>
            <w:r>
              <w:rPr>
                <w:rFonts w:hint="default" w:ascii="Times New Roman" w:hAnsi="Times New Roman" w:cs="Times New Roman"/>
                <w:color w:val="000000" w:themeColor="text1"/>
                <w:sz w:val="24"/>
                <w:highlight w:val="none"/>
                <w:vertAlign w:val="subscript"/>
                <w14:textFill>
                  <w14:solidFill>
                    <w14:schemeClr w14:val="tx1"/>
                  </w14:solidFill>
                </w14:textFill>
              </w:rPr>
              <w:t>atm</w:t>
            </w:r>
            <w:r>
              <w:rPr>
                <w:rFonts w:hint="default" w:ascii="Times New Roman" w:hAnsi="Times New Roman" w:cs="Times New Roman"/>
                <w:color w:val="000000" w:themeColor="text1"/>
                <w:sz w:val="24"/>
                <w:highlight w:val="none"/>
                <w14:textFill>
                  <w14:solidFill>
                    <w14:schemeClr w14:val="tx1"/>
                  </w14:solidFill>
                </w14:textFill>
              </w:rPr>
              <w:t>——大气吸收引起的衰减，dB；</w:t>
            </w:r>
          </w:p>
          <w:p w14:paraId="2077F12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α——与温度、湿度和声波频率有关的大气吸收衰减系数，预测计算中一般根据建设项目所处区域常年平均气温和湿度选择相应的大气吸收衰减系数（表A.2）；</w:t>
            </w:r>
          </w:p>
          <w:p w14:paraId="346C004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r——预测点距声源的距离；</w:t>
            </w:r>
          </w:p>
          <w:p w14:paraId="2E5253D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w:t>
            </w:r>
            <w:r>
              <w:rPr>
                <w:rFonts w:hint="default" w:ascii="Times New Roman" w:hAnsi="Times New Roman" w:cs="Times New Roman"/>
                <w:color w:val="000000" w:themeColor="text1"/>
                <w:sz w:val="24"/>
                <w:highlight w:val="none"/>
                <w:vertAlign w:val="subscript"/>
                <w14:textFill>
                  <w14:solidFill>
                    <w14:schemeClr w14:val="tx1"/>
                  </w14:solidFill>
                </w14:textFill>
              </w:rPr>
              <w:t>0</w:t>
            </w:r>
            <w:r>
              <w:rPr>
                <w:rFonts w:hint="default" w:ascii="Times New Roman" w:hAnsi="Times New Roman" w:cs="Times New Roman"/>
                <w:color w:val="000000" w:themeColor="text1"/>
                <w:sz w:val="24"/>
                <w:highlight w:val="none"/>
                <w14:textFill>
                  <w14:solidFill>
                    <w14:schemeClr w14:val="tx1"/>
                  </w14:solidFill>
                </w14:textFill>
              </w:rPr>
              <w:t>——参考位置距声源的距离。</w:t>
            </w:r>
          </w:p>
          <w:p w14:paraId="2768437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（4）遮挡物引起的衰减量Abar：</w:t>
            </w:r>
          </w:p>
          <w:p w14:paraId="65F1019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位于声源和预测点之间的实体障碍物，如围墙、建筑物、土坡或地堑等起声屏障作用，从而引起声能量的较大衰减。在环境影响评价中，可将各种形式的屏障简化为具有一定高度的薄屏障。在噪声预测中，声屏障插入损失的计算方法需要根据实际情况作简化处理。屏障衰减A</w:t>
            </w:r>
            <w:r>
              <w:rPr>
                <w:rFonts w:hint="default" w:ascii="Times New Roman" w:hAnsi="Times New Roman" w:cs="Times New Roman"/>
                <w:color w:val="000000" w:themeColor="text1"/>
                <w:sz w:val="24"/>
                <w:highlight w:val="none"/>
                <w:vertAlign w:val="subscript"/>
                <w14:textFill>
                  <w14:solidFill>
                    <w14:schemeClr w14:val="tx1"/>
                  </w14:solidFill>
                </w14:textFill>
              </w:rPr>
              <w:t>bar</w:t>
            </w:r>
            <w:r>
              <w:rPr>
                <w:rFonts w:hint="default" w:ascii="Times New Roman" w:hAnsi="Times New Roman" w:cs="Times New Roman"/>
                <w:color w:val="000000" w:themeColor="text1"/>
                <w:sz w:val="24"/>
                <w:highlight w:val="none"/>
                <w14:textFill>
                  <w14:solidFill>
                    <w14:schemeClr w14:val="tx1"/>
                  </w14:solidFill>
                </w14:textFill>
              </w:rPr>
              <w:t>在单绕射（即薄屏障）情况，衰减最大取2dB；在双绕射（即厚屏障）情况，衰减最大取25dB。</w:t>
            </w:r>
          </w:p>
          <w:p w14:paraId="69D639F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（5）附加衰减量A</w:t>
            </w:r>
            <w:r>
              <w:rPr>
                <w:rFonts w:hint="default" w:ascii="Times New Roman" w:hAnsi="Times New Roman" w:cs="Times New Roman"/>
                <w:color w:val="000000" w:themeColor="text1"/>
                <w:sz w:val="24"/>
                <w:highlight w:val="none"/>
                <w:vertAlign w:val="subscript"/>
                <w14:textFill>
                  <w14:solidFill>
                    <w14:schemeClr w14:val="tx1"/>
                  </w14:solidFill>
                </w14:textFill>
              </w:rPr>
              <w:t>exc</w:t>
            </w:r>
            <w:r>
              <w:rPr>
                <w:rFonts w:hint="default" w:ascii="Times New Roman" w:hAnsi="Times New Roman" w:cs="Times New Roman"/>
                <w:color w:val="000000" w:themeColor="text1"/>
                <w:sz w:val="24"/>
                <w:highlight w:val="none"/>
                <w14:textFill>
                  <w14:solidFill>
                    <w14:schemeClr w14:val="tx1"/>
                  </w14:solidFill>
                </w14:textFill>
              </w:rPr>
              <w:t>：</w:t>
            </w:r>
          </w:p>
          <w:p w14:paraId="5A7AC99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其他衰减包括通过工业场所的衰减；通过建筑群的衰减等。在声环境影响评价中，一般情况下，不考虑自然条件（如风、温度梯度、雾）变化引起的附加修正，可以忽略本项附加衰减量。</w:t>
            </w:r>
          </w:p>
          <w:p w14:paraId="33939DC9">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74" w:name="_Toc26946"/>
            <w:bookmarkStart w:id="75" w:name="_Toc572"/>
            <w:r>
              <w:rPr>
                <w:rFonts w:hint="default" w:ascii="Times New Roman" w:hAnsi="Times New Roman" w:cs="Times New Roman"/>
                <w:b/>
                <w:bCs/>
                <w:color w:val="000000" w:themeColor="text1"/>
                <w:sz w:val="24"/>
                <w:highlight w:val="none"/>
                <w14:textFill>
                  <w14:solidFill>
                    <w14:schemeClr w14:val="tx1"/>
                  </w14:solidFill>
                </w14:textFill>
              </w:rPr>
              <w:t>4、预测结果</w:t>
            </w:r>
            <w:bookmarkEnd w:id="74"/>
            <w:bookmarkEnd w:id="75"/>
          </w:p>
          <w:p w14:paraId="4119074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于项目位于湖南朝阳机电股份有限公司内的生产厂房，本项目50m范围内无声环境保护目标，因此无需进行声环境现状监测，本次评价将叠加现状2024年5月22日-23日衡阳职安环保科技有限责任公司对厂界噪声的检测值作为本底值，从而对湖南朝阳机电股份有限公司厂界进行预测，具体见表4-2</w:t>
            </w:r>
            <w:r>
              <w:rPr>
                <w:rFonts w:hint="default" w:ascii="Times New Roman" w:hAnsi="Times New Roman" w:cs="Times New Roman"/>
                <w:color w:val="000000" w:themeColor="text1"/>
                <w:sz w:val="24"/>
                <w:highlight w:val="none"/>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w:t>
            </w:r>
          </w:p>
          <w:p w14:paraId="78381D47">
            <w:pPr>
              <w:ind w:firstLine="482"/>
              <w:jc w:val="center"/>
              <w:rPr>
                <w:rFonts w:hint="default" w:ascii="Times New Roman" w:hAnsi="Times New Roman" w:cs="Times New Roman"/>
                <w:b/>
                <w:bCs/>
                <w:color w:val="000000" w:themeColor="text1"/>
                <w:highlight w:val="none"/>
                <w14:textFill>
                  <w14:solidFill>
                    <w14:schemeClr w14:val="tx1"/>
                  </w14:solidFill>
                </w14:textFill>
              </w:rPr>
            </w:pPr>
            <w:r>
              <w:rPr>
                <w:rStyle w:val="98"/>
                <w:rFonts w:hint="default" w:ascii="Times New Roman" w:hAnsi="Times New Roman" w:cs="Times New Roman"/>
                <w:color w:val="000000" w:themeColor="text1"/>
                <w:highlight w:val="none"/>
                <w14:textFill>
                  <w14:solidFill>
                    <w14:schemeClr w14:val="tx1"/>
                  </w14:solidFill>
                </w14:textFill>
              </w:rPr>
              <w:t>表4-2</w:t>
            </w:r>
            <w:r>
              <w:rPr>
                <w:rStyle w:val="98"/>
                <w:rFonts w:hint="default" w:ascii="Times New Roman" w:hAnsi="Times New Roman" w:cs="Times New Roman"/>
                <w:color w:val="000000" w:themeColor="text1"/>
                <w:highlight w:val="none"/>
                <w14:textFill>
                  <w14:solidFill>
                    <w14:schemeClr w14:val="tx1"/>
                  </w14:solidFill>
                </w14:textFill>
              </w:rPr>
              <w:t>3</w:t>
            </w:r>
            <w:r>
              <w:rPr>
                <w:rStyle w:val="98"/>
                <w:rFonts w:hint="default" w:ascii="Times New Roman" w:hAnsi="Times New Roman" w:cs="Times New Roman"/>
                <w:color w:val="000000" w:themeColor="text1"/>
                <w:highlight w:val="none"/>
                <w14:textFill>
                  <w14:solidFill>
                    <w14:schemeClr w14:val="tx1"/>
                  </w14:solidFill>
                </w14:textFill>
              </w:rPr>
              <w:t xml:space="preserve">  项目厂界噪</w:t>
            </w:r>
            <w:r>
              <w:rPr>
                <w:rFonts w:hint="default" w:ascii="Times New Roman" w:hAnsi="Times New Roman" w:cs="Times New Roman"/>
                <w:b/>
                <w:bCs/>
                <w:color w:val="000000" w:themeColor="text1"/>
                <w:highlight w:val="none"/>
                <w14:textFill>
                  <w14:solidFill>
                    <w14:schemeClr w14:val="tx1"/>
                  </w14:solidFill>
                </w14:textFill>
              </w:rPr>
              <w:t>声预测结果与达标分析表 单位：dB(A)</w:t>
            </w:r>
          </w:p>
          <w:tbl>
            <w:tblPr>
              <w:tblStyle w:val="33"/>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975"/>
              <w:gridCol w:w="780"/>
              <w:gridCol w:w="660"/>
              <w:gridCol w:w="690"/>
              <w:gridCol w:w="877"/>
              <w:gridCol w:w="959"/>
              <w:gridCol w:w="959"/>
              <w:gridCol w:w="959"/>
              <w:gridCol w:w="710"/>
            </w:tblGrid>
            <w:tr w14:paraId="1204C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951" w:type="dxa"/>
                  <w:vMerge w:val="restart"/>
                  <w:vAlign w:val="center"/>
                </w:tcPr>
                <w:p w14:paraId="1BC836B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预测方位</w:t>
                  </w:r>
                </w:p>
              </w:tc>
              <w:tc>
                <w:tcPr>
                  <w:tcW w:w="2415" w:type="dxa"/>
                  <w:gridSpan w:val="3"/>
                  <w:vAlign w:val="center"/>
                </w:tcPr>
                <w:p w14:paraId="6AE8B39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最大值点空间相对位置/m</w:t>
                  </w:r>
                </w:p>
              </w:tc>
              <w:tc>
                <w:tcPr>
                  <w:tcW w:w="690" w:type="dxa"/>
                  <w:vMerge w:val="restart"/>
                  <w:vAlign w:val="center"/>
                </w:tcPr>
                <w:p w14:paraId="7C3DC9BE">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时段</w:t>
                  </w:r>
                </w:p>
              </w:tc>
              <w:tc>
                <w:tcPr>
                  <w:tcW w:w="877" w:type="dxa"/>
                  <w:vMerge w:val="restart"/>
                  <w:vAlign w:val="center"/>
                </w:tcPr>
                <w:p w14:paraId="697178D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贡献值</w:t>
                  </w:r>
                </w:p>
                <w:p w14:paraId="4135522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dB(A)</w:t>
                  </w:r>
                </w:p>
              </w:tc>
              <w:tc>
                <w:tcPr>
                  <w:tcW w:w="959" w:type="dxa"/>
                  <w:vMerge w:val="restart"/>
                  <w:vAlign w:val="center"/>
                </w:tcPr>
                <w:p w14:paraId="359C922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val="zh-CN"/>
                      <w14:textFill>
                        <w14:solidFill>
                          <w14:schemeClr w14:val="tx1"/>
                        </w14:solidFill>
                      </w14:textFill>
                    </w:rPr>
                    <w:t>背景值</w:t>
                  </w:r>
                </w:p>
                <w:p w14:paraId="529FDE0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dB(A)</w:t>
                  </w:r>
                </w:p>
              </w:tc>
              <w:tc>
                <w:tcPr>
                  <w:tcW w:w="959" w:type="dxa"/>
                  <w:vMerge w:val="restart"/>
                  <w:vAlign w:val="center"/>
                </w:tcPr>
                <w:p w14:paraId="5A156FA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预测值</w:t>
                  </w:r>
                </w:p>
                <w:p w14:paraId="036A6EC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dB(A)</w:t>
                  </w:r>
                </w:p>
              </w:tc>
              <w:tc>
                <w:tcPr>
                  <w:tcW w:w="959" w:type="dxa"/>
                  <w:vMerge w:val="restart"/>
                  <w:vAlign w:val="center"/>
                </w:tcPr>
                <w:p w14:paraId="2529B3B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标准值</w:t>
                  </w:r>
                </w:p>
                <w:p w14:paraId="4BDF8BD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dB(A)</w:t>
                  </w:r>
                </w:p>
              </w:tc>
              <w:tc>
                <w:tcPr>
                  <w:tcW w:w="710" w:type="dxa"/>
                  <w:vMerge w:val="restart"/>
                  <w:vAlign w:val="center"/>
                </w:tcPr>
                <w:p w14:paraId="5A05226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达标情况</w:t>
                  </w:r>
                </w:p>
              </w:tc>
            </w:tr>
            <w:tr w14:paraId="2E2C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51" w:type="dxa"/>
                  <w:vMerge w:val="continue"/>
                  <w:shd w:val="clear" w:color="auto" w:fill="FFFFFF"/>
                  <w:vAlign w:val="center"/>
                </w:tcPr>
                <w:p w14:paraId="5CDBE2A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975" w:type="dxa"/>
                  <w:shd w:val="clear" w:color="auto" w:fill="FFFFFF"/>
                  <w:vAlign w:val="center"/>
                </w:tcPr>
                <w:p w14:paraId="7A9339E5">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X</w:t>
                  </w:r>
                </w:p>
              </w:tc>
              <w:tc>
                <w:tcPr>
                  <w:tcW w:w="780" w:type="dxa"/>
                  <w:shd w:val="clear" w:color="auto" w:fill="FFFFFF"/>
                  <w:vAlign w:val="center"/>
                </w:tcPr>
                <w:p w14:paraId="7D20F17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Y</w:t>
                  </w:r>
                </w:p>
              </w:tc>
              <w:tc>
                <w:tcPr>
                  <w:tcW w:w="660" w:type="dxa"/>
                  <w:shd w:val="clear" w:color="auto" w:fill="FFFFFF"/>
                  <w:vAlign w:val="center"/>
                </w:tcPr>
                <w:p w14:paraId="73DD267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Z</w:t>
                  </w:r>
                </w:p>
              </w:tc>
              <w:tc>
                <w:tcPr>
                  <w:tcW w:w="690" w:type="dxa"/>
                  <w:vMerge w:val="continue"/>
                  <w:shd w:val="clear" w:color="auto" w:fill="FFFFFF"/>
                  <w:vAlign w:val="center"/>
                </w:tcPr>
                <w:p w14:paraId="0618BBC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877" w:type="dxa"/>
                  <w:vMerge w:val="continue"/>
                  <w:shd w:val="clear" w:color="auto" w:fill="FFFFFF"/>
                  <w:vAlign w:val="center"/>
                </w:tcPr>
                <w:p w14:paraId="7DE7BAF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959" w:type="dxa"/>
                  <w:vMerge w:val="continue"/>
                  <w:shd w:val="clear" w:color="auto" w:fill="FFFFFF"/>
                  <w:vAlign w:val="center"/>
                </w:tcPr>
                <w:p w14:paraId="3DFBBBF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959" w:type="dxa"/>
                  <w:vMerge w:val="continue"/>
                  <w:shd w:val="clear" w:color="auto" w:fill="FFFFFF"/>
                  <w:vAlign w:val="center"/>
                </w:tcPr>
                <w:p w14:paraId="7D66DBD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959" w:type="dxa"/>
                  <w:vMerge w:val="continue"/>
                  <w:shd w:val="clear" w:color="auto" w:fill="FFFFFF"/>
                  <w:vAlign w:val="center"/>
                </w:tcPr>
                <w:p w14:paraId="6E0D345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710" w:type="dxa"/>
                  <w:vMerge w:val="continue"/>
                  <w:shd w:val="clear" w:color="auto" w:fill="FFFFFF"/>
                  <w:vAlign w:val="center"/>
                </w:tcPr>
                <w:p w14:paraId="0B9D575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56494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restart"/>
                  <w:shd w:val="clear" w:color="auto" w:fill="FFFFFF"/>
                  <w:vAlign w:val="center"/>
                </w:tcPr>
                <w:p w14:paraId="0D8B62D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项目东厂界</w:t>
                  </w:r>
                </w:p>
              </w:tc>
              <w:tc>
                <w:tcPr>
                  <w:tcW w:w="975" w:type="dxa"/>
                  <w:shd w:val="clear" w:color="auto" w:fill="FFFFFF"/>
                  <w:vAlign w:val="center"/>
                </w:tcPr>
                <w:p w14:paraId="375AEB6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31.60</w:t>
                  </w:r>
                </w:p>
              </w:tc>
              <w:tc>
                <w:tcPr>
                  <w:tcW w:w="780" w:type="dxa"/>
                  <w:shd w:val="clear" w:color="auto" w:fill="FFFFFF"/>
                  <w:vAlign w:val="center"/>
                </w:tcPr>
                <w:p w14:paraId="3604C0F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71.57</w:t>
                  </w:r>
                </w:p>
              </w:tc>
              <w:tc>
                <w:tcPr>
                  <w:tcW w:w="660" w:type="dxa"/>
                  <w:shd w:val="clear" w:color="auto" w:fill="FFFFFF"/>
                  <w:vAlign w:val="center"/>
                </w:tcPr>
                <w:p w14:paraId="6F6B2CE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7DA57E3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昼间</w:t>
                  </w:r>
                </w:p>
              </w:tc>
              <w:tc>
                <w:tcPr>
                  <w:tcW w:w="877" w:type="dxa"/>
                  <w:shd w:val="clear" w:color="auto" w:fill="FFFFFF"/>
                  <w:vAlign w:val="center"/>
                </w:tcPr>
                <w:p w14:paraId="50E7F319">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47.70</w:t>
                  </w:r>
                </w:p>
              </w:tc>
              <w:tc>
                <w:tcPr>
                  <w:tcW w:w="959" w:type="dxa"/>
                  <w:shd w:val="clear" w:color="auto" w:fill="FFFFFF"/>
                  <w:vAlign w:val="center"/>
                </w:tcPr>
                <w:p w14:paraId="6D65EE4E">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56</w:t>
                  </w:r>
                </w:p>
              </w:tc>
              <w:tc>
                <w:tcPr>
                  <w:tcW w:w="959" w:type="dxa"/>
                  <w:shd w:val="clear" w:color="auto" w:fill="FFFFFF"/>
                  <w:vAlign w:val="center"/>
                </w:tcPr>
                <w:p w14:paraId="7A74199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56.60</w:t>
                  </w:r>
                </w:p>
              </w:tc>
              <w:tc>
                <w:tcPr>
                  <w:tcW w:w="959" w:type="dxa"/>
                  <w:shd w:val="clear" w:color="auto" w:fill="FFFFFF"/>
                  <w:vAlign w:val="center"/>
                </w:tcPr>
                <w:p w14:paraId="5306045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65</w:t>
                  </w:r>
                </w:p>
              </w:tc>
              <w:tc>
                <w:tcPr>
                  <w:tcW w:w="710" w:type="dxa"/>
                  <w:shd w:val="clear" w:color="auto" w:fill="FFFFFF"/>
                  <w:vAlign w:val="center"/>
                </w:tcPr>
                <w:p w14:paraId="28E0E1F5">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50388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continue"/>
                  <w:shd w:val="clear" w:color="auto" w:fill="FFFFFF"/>
                  <w:vAlign w:val="center"/>
                </w:tcPr>
                <w:p w14:paraId="5516CAD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东侧</w:t>
                  </w:r>
                </w:p>
              </w:tc>
              <w:tc>
                <w:tcPr>
                  <w:tcW w:w="975" w:type="dxa"/>
                  <w:shd w:val="clear" w:color="auto" w:fill="FFFFFF"/>
                  <w:vAlign w:val="center"/>
                </w:tcPr>
                <w:p w14:paraId="666FC2E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31.60</w:t>
                  </w:r>
                </w:p>
              </w:tc>
              <w:tc>
                <w:tcPr>
                  <w:tcW w:w="780" w:type="dxa"/>
                  <w:shd w:val="clear" w:color="auto" w:fill="FFFFFF"/>
                  <w:vAlign w:val="center"/>
                </w:tcPr>
                <w:p w14:paraId="68946E2E">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71.57</w:t>
                  </w:r>
                </w:p>
              </w:tc>
              <w:tc>
                <w:tcPr>
                  <w:tcW w:w="660" w:type="dxa"/>
                  <w:shd w:val="clear" w:color="auto" w:fill="FFFFFF"/>
                  <w:vAlign w:val="center"/>
                </w:tcPr>
                <w:p w14:paraId="2153D43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2802403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夜间</w:t>
                  </w:r>
                </w:p>
              </w:tc>
              <w:tc>
                <w:tcPr>
                  <w:tcW w:w="877" w:type="dxa"/>
                  <w:shd w:val="clear" w:color="auto" w:fill="FFFFFF"/>
                  <w:vAlign w:val="center"/>
                </w:tcPr>
                <w:p w14:paraId="7965605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47.70</w:t>
                  </w:r>
                </w:p>
              </w:tc>
              <w:tc>
                <w:tcPr>
                  <w:tcW w:w="959" w:type="dxa"/>
                  <w:shd w:val="clear" w:color="auto" w:fill="FFFFFF"/>
                  <w:vAlign w:val="center"/>
                </w:tcPr>
                <w:p w14:paraId="412D702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48</w:t>
                  </w:r>
                </w:p>
              </w:tc>
              <w:tc>
                <w:tcPr>
                  <w:tcW w:w="959" w:type="dxa"/>
                  <w:shd w:val="clear" w:color="auto" w:fill="FFFFFF"/>
                  <w:vAlign w:val="center"/>
                </w:tcPr>
                <w:p w14:paraId="07334DF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48.38</w:t>
                  </w:r>
                </w:p>
              </w:tc>
              <w:tc>
                <w:tcPr>
                  <w:tcW w:w="959" w:type="dxa"/>
                  <w:shd w:val="clear" w:color="auto" w:fill="FFFFFF"/>
                  <w:vAlign w:val="center"/>
                </w:tcPr>
                <w:p w14:paraId="564314D5">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55</w:t>
                  </w:r>
                </w:p>
              </w:tc>
              <w:tc>
                <w:tcPr>
                  <w:tcW w:w="710" w:type="dxa"/>
                  <w:shd w:val="clear" w:color="auto" w:fill="FFFFFF"/>
                  <w:vAlign w:val="center"/>
                </w:tcPr>
                <w:p w14:paraId="6683253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4D9AA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restart"/>
                  <w:shd w:val="clear" w:color="auto" w:fill="FFFFFF"/>
                  <w:vAlign w:val="center"/>
                </w:tcPr>
                <w:p w14:paraId="242BD4F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项目南厂界</w:t>
                  </w:r>
                </w:p>
              </w:tc>
              <w:tc>
                <w:tcPr>
                  <w:tcW w:w="975" w:type="dxa"/>
                  <w:shd w:val="clear" w:color="auto" w:fill="FFFFFF"/>
                  <w:vAlign w:val="center"/>
                </w:tcPr>
                <w:p w14:paraId="4095558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-10.34</w:t>
                  </w:r>
                </w:p>
              </w:tc>
              <w:tc>
                <w:tcPr>
                  <w:tcW w:w="780" w:type="dxa"/>
                  <w:shd w:val="clear" w:color="auto" w:fill="FFFFFF"/>
                  <w:vAlign w:val="center"/>
                </w:tcPr>
                <w:p w14:paraId="3BFF016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-51.85</w:t>
                  </w:r>
                </w:p>
              </w:tc>
              <w:tc>
                <w:tcPr>
                  <w:tcW w:w="660" w:type="dxa"/>
                  <w:shd w:val="clear" w:color="auto" w:fill="FFFFFF"/>
                  <w:vAlign w:val="center"/>
                </w:tcPr>
                <w:p w14:paraId="40E65CD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6085287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昼间</w:t>
                  </w:r>
                </w:p>
              </w:tc>
              <w:tc>
                <w:tcPr>
                  <w:tcW w:w="877" w:type="dxa"/>
                  <w:shd w:val="clear" w:color="auto" w:fill="FFFFFF"/>
                  <w:vAlign w:val="center"/>
                </w:tcPr>
                <w:p w14:paraId="6F6ED83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46.26</w:t>
                  </w:r>
                </w:p>
              </w:tc>
              <w:tc>
                <w:tcPr>
                  <w:tcW w:w="959" w:type="dxa"/>
                  <w:shd w:val="clear" w:color="auto" w:fill="FFFFFF"/>
                  <w:vAlign w:val="center"/>
                </w:tcPr>
                <w:p w14:paraId="0A6A8909">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56</w:t>
                  </w:r>
                </w:p>
              </w:tc>
              <w:tc>
                <w:tcPr>
                  <w:tcW w:w="959" w:type="dxa"/>
                  <w:shd w:val="clear" w:color="auto" w:fill="FFFFFF"/>
                  <w:vAlign w:val="center"/>
                </w:tcPr>
                <w:p w14:paraId="3417CEE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56.68</w:t>
                  </w:r>
                </w:p>
              </w:tc>
              <w:tc>
                <w:tcPr>
                  <w:tcW w:w="959" w:type="dxa"/>
                  <w:shd w:val="clear" w:color="auto" w:fill="FFFFFF"/>
                  <w:vAlign w:val="center"/>
                </w:tcPr>
                <w:p w14:paraId="106922F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65</w:t>
                  </w:r>
                </w:p>
              </w:tc>
              <w:tc>
                <w:tcPr>
                  <w:tcW w:w="710" w:type="dxa"/>
                  <w:shd w:val="clear" w:color="auto" w:fill="FFFFFF"/>
                  <w:vAlign w:val="center"/>
                </w:tcPr>
                <w:p w14:paraId="2C6F86F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6D51D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continue"/>
                  <w:shd w:val="clear" w:color="auto" w:fill="FFFFFF"/>
                  <w:vAlign w:val="center"/>
                </w:tcPr>
                <w:p w14:paraId="40AA6C9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南侧</w:t>
                  </w:r>
                </w:p>
              </w:tc>
              <w:tc>
                <w:tcPr>
                  <w:tcW w:w="975" w:type="dxa"/>
                  <w:shd w:val="clear" w:color="auto" w:fill="FFFFFF"/>
                  <w:vAlign w:val="center"/>
                </w:tcPr>
                <w:p w14:paraId="6515786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-10.34</w:t>
                  </w:r>
                </w:p>
              </w:tc>
              <w:tc>
                <w:tcPr>
                  <w:tcW w:w="780" w:type="dxa"/>
                  <w:shd w:val="clear" w:color="auto" w:fill="FFFFFF"/>
                  <w:vAlign w:val="center"/>
                </w:tcPr>
                <w:p w14:paraId="03B82E0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-51.85</w:t>
                  </w:r>
                </w:p>
              </w:tc>
              <w:tc>
                <w:tcPr>
                  <w:tcW w:w="660" w:type="dxa"/>
                  <w:shd w:val="clear" w:color="auto" w:fill="FFFFFF"/>
                  <w:vAlign w:val="center"/>
                </w:tcPr>
                <w:p w14:paraId="4BCAA7F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389BB93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夜间</w:t>
                  </w:r>
                </w:p>
              </w:tc>
              <w:tc>
                <w:tcPr>
                  <w:tcW w:w="877" w:type="dxa"/>
                  <w:shd w:val="clear" w:color="auto" w:fill="FFFFFF"/>
                  <w:vAlign w:val="center"/>
                </w:tcPr>
                <w:p w14:paraId="491DCCD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lang w:val="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46.26</w:t>
                  </w:r>
                </w:p>
              </w:tc>
              <w:tc>
                <w:tcPr>
                  <w:tcW w:w="959" w:type="dxa"/>
                  <w:shd w:val="clear" w:color="auto" w:fill="FFFFFF"/>
                  <w:vAlign w:val="center"/>
                </w:tcPr>
                <w:p w14:paraId="174968F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40</w:t>
                  </w:r>
                </w:p>
              </w:tc>
              <w:tc>
                <w:tcPr>
                  <w:tcW w:w="959" w:type="dxa"/>
                  <w:shd w:val="clear" w:color="auto" w:fill="FFFFFF"/>
                  <w:vAlign w:val="center"/>
                </w:tcPr>
                <w:p w14:paraId="764BCEE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46.64</w:t>
                  </w:r>
                </w:p>
              </w:tc>
              <w:tc>
                <w:tcPr>
                  <w:tcW w:w="959" w:type="dxa"/>
                  <w:shd w:val="clear" w:color="auto" w:fill="FFFFFF"/>
                  <w:vAlign w:val="center"/>
                </w:tcPr>
                <w:p w14:paraId="554D363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55</w:t>
                  </w:r>
                </w:p>
              </w:tc>
              <w:tc>
                <w:tcPr>
                  <w:tcW w:w="710" w:type="dxa"/>
                  <w:shd w:val="clear" w:color="auto" w:fill="FFFFFF"/>
                  <w:vAlign w:val="center"/>
                </w:tcPr>
                <w:p w14:paraId="0E2645D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2B899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restart"/>
                  <w:shd w:val="clear" w:color="auto" w:fill="FFFFFF"/>
                  <w:vAlign w:val="center"/>
                </w:tcPr>
                <w:p w14:paraId="77015A9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项目西厂界</w:t>
                  </w:r>
                </w:p>
              </w:tc>
              <w:tc>
                <w:tcPr>
                  <w:tcW w:w="975" w:type="dxa"/>
                  <w:shd w:val="clear" w:color="auto" w:fill="FFFFFF"/>
                  <w:vAlign w:val="center"/>
                </w:tcPr>
                <w:p w14:paraId="09FDFE7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-145.00</w:t>
                  </w:r>
                </w:p>
              </w:tc>
              <w:tc>
                <w:tcPr>
                  <w:tcW w:w="780" w:type="dxa"/>
                  <w:shd w:val="clear" w:color="auto" w:fill="FFFFFF"/>
                  <w:vAlign w:val="center"/>
                </w:tcPr>
                <w:p w14:paraId="7019104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-37.92</w:t>
                  </w:r>
                </w:p>
              </w:tc>
              <w:tc>
                <w:tcPr>
                  <w:tcW w:w="660" w:type="dxa"/>
                  <w:shd w:val="clear" w:color="auto" w:fill="FFFFFF"/>
                  <w:vAlign w:val="center"/>
                </w:tcPr>
                <w:p w14:paraId="0C931C5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02B3CCDE">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昼间</w:t>
                  </w:r>
                </w:p>
              </w:tc>
              <w:tc>
                <w:tcPr>
                  <w:tcW w:w="877" w:type="dxa"/>
                  <w:shd w:val="clear" w:color="auto" w:fill="FFFFFF"/>
                  <w:vAlign w:val="center"/>
                </w:tcPr>
                <w:p w14:paraId="46C7132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38.19</w:t>
                  </w:r>
                </w:p>
              </w:tc>
              <w:tc>
                <w:tcPr>
                  <w:tcW w:w="959" w:type="dxa"/>
                  <w:shd w:val="clear" w:color="auto" w:fill="FFFFFF"/>
                  <w:vAlign w:val="center"/>
                </w:tcPr>
                <w:p w14:paraId="5E3682F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62</w:t>
                  </w:r>
                </w:p>
              </w:tc>
              <w:tc>
                <w:tcPr>
                  <w:tcW w:w="959" w:type="dxa"/>
                  <w:shd w:val="clear" w:color="auto" w:fill="FFFFFF"/>
                  <w:vAlign w:val="center"/>
                </w:tcPr>
                <w:p w14:paraId="6C4BB06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62.09</w:t>
                  </w:r>
                </w:p>
              </w:tc>
              <w:tc>
                <w:tcPr>
                  <w:tcW w:w="959" w:type="dxa"/>
                  <w:shd w:val="clear" w:color="auto" w:fill="FFFFFF"/>
                  <w:vAlign w:val="center"/>
                </w:tcPr>
                <w:p w14:paraId="2EBC05E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65</w:t>
                  </w:r>
                </w:p>
              </w:tc>
              <w:tc>
                <w:tcPr>
                  <w:tcW w:w="710" w:type="dxa"/>
                  <w:shd w:val="clear" w:color="auto" w:fill="FFFFFF"/>
                  <w:vAlign w:val="center"/>
                </w:tcPr>
                <w:p w14:paraId="7E3AA99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76C16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continue"/>
                  <w:shd w:val="clear" w:color="auto" w:fill="FFFFFF"/>
                  <w:vAlign w:val="center"/>
                </w:tcPr>
                <w:p w14:paraId="599F5793">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西侧</w:t>
                  </w:r>
                </w:p>
              </w:tc>
              <w:tc>
                <w:tcPr>
                  <w:tcW w:w="975" w:type="dxa"/>
                  <w:shd w:val="clear" w:color="auto" w:fill="FFFFFF"/>
                  <w:vAlign w:val="center"/>
                </w:tcPr>
                <w:p w14:paraId="50EF887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-145.00</w:t>
                  </w:r>
                </w:p>
              </w:tc>
              <w:tc>
                <w:tcPr>
                  <w:tcW w:w="780" w:type="dxa"/>
                  <w:shd w:val="clear" w:color="auto" w:fill="FFFFFF"/>
                  <w:vAlign w:val="center"/>
                </w:tcPr>
                <w:p w14:paraId="1052B31E">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-37.92</w:t>
                  </w:r>
                </w:p>
              </w:tc>
              <w:tc>
                <w:tcPr>
                  <w:tcW w:w="660" w:type="dxa"/>
                  <w:shd w:val="clear" w:color="auto" w:fill="FFFFFF"/>
                  <w:vAlign w:val="center"/>
                </w:tcPr>
                <w:p w14:paraId="4FAE4BBB">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6C9C29D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夜间</w:t>
                  </w:r>
                </w:p>
              </w:tc>
              <w:tc>
                <w:tcPr>
                  <w:tcW w:w="877" w:type="dxa"/>
                  <w:shd w:val="clear" w:color="auto" w:fill="FFFFFF"/>
                  <w:vAlign w:val="center"/>
                </w:tcPr>
                <w:p w14:paraId="3DFED07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38.19</w:t>
                  </w:r>
                </w:p>
              </w:tc>
              <w:tc>
                <w:tcPr>
                  <w:tcW w:w="959" w:type="dxa"/>
                  <w:shd w:val="clear" w:color="auto" w:fill="FFFFFF"/>
                  <w:vAlign w:val="center"/>
                </w:tcPr>
                <w:p w14:paraId="73901C4D">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50</w:t>
                  </w:r>
                </w:p>
              </w:tc>
              <w:tc>
                <w:tcPr>
                  <w:tcW w:w="959" w:type="dxa"/>
                  <w:shd w:val="clear" w:color="auto" w:fill="FFFFFF"/>
                  <w:vAlign w:val="center"/>
                </w:tcPr>
                <w:p w14:paraId="7A9AA33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50.50</w:t>
                  </w:r>
                </w:p>
              </w:tc>
              <w:tc>
                <w:tcPr>
                  <w:tcW w:w="959" w:type="dxa"/>
                  <w:shd w:val="clear" w:color="auto" w:fill="FFFFFF"/>
                  <w:vAlign w:val="center"/>
                </w:tcPr>
                <w:p w14:paraId="19746EE4">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55</w:t>
                  </w:r>
                </w:p>
              </w:tc>
              <w:tc>
                <w:tcPr>
                  <w:tcW w:w="710" w:type="dxa"/>
                  <w:shd w:val="clear" w:color="auto" w:fill="FFFFFF"/>
                  <w:vAlign w:val="center"/>
                </w:tcPr>
                <w:p w14:paraId="22CEE8B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2E1FC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restart"/>
                  <w:shd w:val="clear" w:color="auto" w:fill="FFFFFF"/>
                  <w:vAlign w:val="center"/>
                </w:tcPr>
                <w:p w14:paraId="73F9566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项目北厂界</w:t>
                  </w:r>
                </w:p>
              </w:tc>
              <w:tc>
                <w:tcPr>
                  <w:tcW w:w="975" w:type="dxa"/>
                  <w:shd w:val="clear" w:color="auto" w:fill="FFFFFF"/>
                  <w:vAlign w:val="center"/>
                </w:tcPr>
                <w:p w14:paraId="3F73885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4.28</w:t>
                  </w:r>
                </w:p>
              </w:tc>
              <w:tc>
                <w:tcPr>
                  <w:tcW w:w="780" w:type="dxa"/>
                  <w:shd w:val="clear" w:color="auto" w:fill="FFFFFF"/>
                  <w:vAlign w:val="center"/>
                </w:tcPr>
                <w:p w14:paraId="4E42B8B0">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96.32</w:t>
                  </w:r>
                </w:p>
              </w:tc>
              <w:tc>
                <w:tcPr>
                  <w:tcW w:w="660" w:type="dxa"/>
                  <w:shd w:val="clear" w:color="auto" w:fill="FFFFFF"/>
                  <w:vAlign w:val="center"/>
                </w:tcPr>
                <w:p w14:paraId="70B42987">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4AAA07F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昼间</w:t>
                  </w:r>
                </w:p>
              </w:tc>
              <w:tc>
                <w:tcPr>
                  <w:tcW w:w="877" w:type="dxa"/>
                  <w:shd w:val="clear" w:color="auto" w:fill="FFFFFF"/>
                  <w:vAlign w:val="center"/>
                </w:tcPr>
                <w:p w14:paraId="78008C8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47.99</w:t>
                  </w:r>
                </w:p>
              </w:tc>
              <w:tc>
                <w:tcPr>
                  <w:tcW w:w="959" w:type="dxa"/>
                  <w:shd w:val="clear" w:color="auto" w:fill="FFFFFF"/>
                  <w:vAlign w:val="center"/>
                </w:tcPr>
                <w:p w14:paraId="481C3CA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60</w:t>
                  </w:r>
                </w:p>
              </w:tc>
              <w:tc>
                <w:tcPr>
                  <w:tcW w:w="959" w:type="dxa"/>
                  <w:shd w:val="clear" w:color="auto" w:fill="FFFFFF"/>
                  <w:vAlign w:val="center"/>
                </w:tcPr>
                <w:p w14:paraId="7E4EFD2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60.79</w:t>
                  </w:r>
                </w:p>
              </w:tc>
              <w:tc>
                <w:tcPr>
                  <w:tcW w:w="959" w:type="dxa"/>
                  <w:shd w:val="clear" w:color="auto" w:fill="FFFFFF"/>
                  <w:vAlign w:val="center"/>
                </w:tcPr>
                <w:p w14:paraId="3753778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65</w:t>
                  </w:r>
                </w:p>
              </w:tc>
              <w:tc>
                <w:tcPr>
                  <w:tcW w:w="710" w:type="dxa"/>
                  <w:shd w:val="clear" w:color="auto" w:fill="FFFFFF"/>
                  <w:vAlign w:val="center"/>
                </w:tcPr>
                <w:p w14:paraId="181D10F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r w14:paraId="4BB60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510" w:hRule="exact"/>
              </w:trPr>
              <w:tc>
                <w:tcPr>
                  <w:tcW w:w="951" w:type="dxa"/>
                  <w:vMerge w:val="continue"/>
                  <w:shd w:val="clear" w:color="auto" w:fill="FFFFFF"/>
                  <w:vAlign w:val="center"/>
                </w:tcPr>
                <w:p w14:paraId="1564AB2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北侧</w:t>
                  </w:r>
                </w:p>
              </w:tc>
              <w:tc>
                <w:tcPr>
                  <w:tcW w:w="975" w:type="dxa"/>
                  <w:shd w:val="clear" w:color="auto" w:fill="FFFFFF"/>
                  <w:vAlign w:val="center"/>
                </w:tcPr>
                <w:p w14:paraId="520730B1">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4.28</w:t>
                  </w:r>
                </w:p>
              </w:tc>
              <w:tc>
                <w:tcPr>
                  <w:tcW w:w="780" w:type="dxa"/>
                  <w:shd w:val="clear" w:color="auto" w:fill="FFFFFF"/>
                  <w:vAlign w:val="center"/>
                </w:tcPr>
                <w:p w14:paraId="78E3C63F">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96.32</w:t>
                  </w:r>
                </w:p>
              </w:tc>
              <w:tc>
                <w:tcPr>
                  <w:tcW w:w="660" w:type="dxa"/>
                  <w:shd w:val="clear" w:color="auto" w:fill="FFFFFF"/>
                  <w:vAlign w:val="center"/>
                </w:tcPr>
                <w:p w14:paraId="553957D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1.2</w:t>
                  </w:r>
                </w:p>
              </w:tc>
              <w:tc>
                <w:tcPr>
                  <w:tcW w:w="690" w:type="dxa"/>
                  <w:shd w:val="clear" w:color="auto" w:fill="FFFFFF"/>
                  <w:vAlign w:val="center"/>
                </w:tcPr>
                <w:p w14:paraId="13EAF3BA">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夜间</w:t>
                  </w:r>
                </w:p>
              </w:tc>
              <w:tc>
                <w:tcPr>
                  <w:tcW w:w="877" w:type="dxa"/>
                  <w:shd w:val="clear" w:color="auto" w:fill="FFFFFF"/>
                  <w:vAlign w:val="center"/>
                </w:tcPr>
                <w:p w14:paraId="3794D148">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47.99</w:t>
                  </w:r>
                </w:p>
              </w:tc>
              <w:tc>
                <w:tcPr>
                  <w:tcW w:w="959" w:type="dxa"/>
                  <w:shd w:val="clear" w:color="auto" w:fill="FFFFFF"/>
                  <w:vAlign w:val="center"/>
                </w:tcPr>
                <w:p w14:paraId="632D7F29">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49</w:t>
                  </w:r>
                </w:p>
              </w:tc>
              <w:tc>
                <w:tcPr>
                  <w:tcW w:w="959" w:type="dxa"/>
                  <w:shd w:val="clear" w:color="auto" w:fill="FFFFFF"/>
                  <w:vAlign w:val="center"/>
                </w:tcPr>
                <w:p w14:paraId="63743716">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49.78</w:t>
                  </w:r>
                </w:p>
              </w:tc>
              <w:tc>
                <w:tcPr>
                  <w:tcW w:w="959" w:type="dxa"/>
                  <w:shd w:val="clear" w:color="auto" w:fill="FFFFFF"/>
                  <w:vAlign w:val="center"/>
                </w:tcPr>
                <w:p w14:paraId="7C72361C">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55</w:t>
                  </w:r>
                </w:p>
              </w:tc>
              <w:tc>
                <w:tcPr>
                  <w:tcW w:w="710" w:type="dxa"/>
                  <w:shd w:val="clear" w:color="auto" w:fill="FFFFFF"/>
                  <w:vAlign w:val="center"/>
                </w:tcPr>
                <w:p w14:paraId="4492B852">
                  <w:pPr>
                    <w:autoSpaceDE w:val="0"/>
                    <w:autoSpaceDN w:val="0"/>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达标</w:t>
                  </w:r>
                </w:p>
              </w:tc>
            </w:tr>
          </w:tbl>
          <w:p w14:paraId="224C0117">
            <w:pPr>
              <w:adjustRightInd w:val="0"/>
              <w:snapToGrid w:val="0"/>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由上表可知，本项目实施后厂界昼、夜间噪声预测值均能够满足《工业企业厂界环境噪声排放标准》（GB12348-2008）3类标准要求。</w:t>
            </w:r>
          </w:p>
          <w:p w14:paraId="58D2902B">
            <w:pPr>
              <w:adjustRightInd w:val="0"/>
              <w:snapToGrid w:val="0"/>
              <w:spacing w:line="360" w:lineRule="auto"/>
              <w:ind w:firstLine="482" w:firstLineChars="200"/>
              <w:jc w:val="left"/>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14:textFill>
                  <w14:solidFill>
                    <w14:schemeClr w14:val="tx1"/>
                  </w14:solidFill>
                </w14:textFill>
              </w:rPr>
              <w:t>5、防治措施</w:t>
            </w:r>
          </w:p>
          <w:p w14:paraId="20F1A008">
            <w:pPr>
              <w:adjustRightInd w:val="0"/>
              <w:snapToGrid w:val="0"/>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 xml:space="preserve">为使本项目的厂界噪声达到《工业企业厂界环境噪声排放标准》（GB12348-2008）3类标准，不对本项目周边的声环境造成明显影响，必须对噪声源采取隔声、减震等综合防治措施，将噪声对周围环境的影响降到最低。建设单位需落实的噪声防治措施如下： </w:t>
            </w:r>
          </w:p>
          <w:p w14:paraId="709527A6">
            <w:pPr>
              <w:widowControl/>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 xml:space="preserve">1）选用低噪声设备，并注意加强日常生产设备的维护和保养； </w:t>
            </w:r>
          </w:p>
          <w:p w14:paraId="251EF5DB">
            <w:pPr>
              <w:widowControl/>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 xml:space="preserve">2）合理布局、将高噪声设备置于室内并尽可能远离厂界； </w:t>
            </w:r>
          </w:p>
          <w:p w14:paraId="2FCA916D">
            <w:pPr>
              <w:widowControl/>
              <w:spacing w:line="360" w:lineRule="auto"/>
              <w:ind w:firstLine="480" w:firstLineChars="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 xml:space="preserve">3）合理安排生产时间，本项目应把生产时间安排在白天，夜间不要进行生 </w:t>
            </w:r>
          </w:p>
          <w:p w14:paraId="0939C54A">
            <w:pPr>
              <w:widowControl/>
              <w:spacing w:line="360" w:lineRule="auto"/>
              <w:ind w:firstLine="200"/>
              <w:jc w:val="left"/>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 xml:space="preserve">产活动，则可避免对本项目附近的居民点产生噪音扰民现象； </w:t>
            </w:r>
          </w:p>
          <w:p w14:paraId="08524E53">
            <w:pPr>
              <w:pStyle w:val="85"/>
              <w:autoSpaceDE/>
              <w:autoSpaceDN/>
              <w:adjustRightInd/>
              <w:spacing w:line="360" w:lineRule="auto"/>
              <w:ind w:firstLine="480" w:firstLineChars="200"/>
              <w:jc w:val="both"/>
              <w:textAlignment w:val="auto"/>
              <w:rPr>
                <w:rFonts w:hint="default" w:ascii="Times New Roman" w:hAnsi="Times New Roman" w:cs="Times New Roman"/>
                <w:color w:val="000000" w:themeColor="text1"/>
                <w:kern w:val="0"/>
                <w:szCs w:val="24"/>
                <w:highlight w:val="none"/>
                <w14:textFill>
                  <w14:solidFill>
                    <w14:schemeClr w14:val="tx1"/>
                  </w14:solidFill>
                </w14:textFill>
              </w:rPr>
            </w:pPr>
            <w:r>
              <w:rPr>
                <w:rFonts w:hint="default" w:ascii="Times New Roman" w:hAnsi="Times New Roman" w:cs="Times New Roman"/>
                <w:color w:val="000000" w:themeColor="text1"/>
                <w:kern w:val="0"/>
                <w:szCs w:val="24"/>
                <w:highlight w:val="none"/>
                <w14:textFill>
                  <w14:solidFill>
                    <w14:schemeClr w14:val="tx1"/>
                  </w14:solidFill>
                </w14:textFill>
              </w:rPr>
              <w:t>4）对产生机械噪声的生产设备均应采用减震、隔音等措施降噪。</w:t>
            </w:r>
          </w:p>
          <w:p w14:paraId="58938098">
            <w:pPr>
              <w:pStyle w:val="85"/>
              <w:autoSpaceDE/>
              <w:autoSpaceDN/>
              <w:adjustRightInd/>
              <w:spacing w:line="360" w:lineRule="auto"/>
              <w:ind w:firstLine="482" w:firstLineChars="200"/>
              <w:jc w:val="both"/>
              <w:textAlignment w:val="auto"/>
              <w:rPr>
                <w:rFonts w:hint="default" w:ascii="Times New Roman" w:hAnsi="Times New Roman" w:cs="Times New Roman"/>
                <w:b/>
                <w:bCs/>
                <w:color w:val="000000" w:themeColor="text1"/>
                <w:szCs w:val="24"/>
                <w:highlight w:val="none"/>
                <w14:textFill>
                  <w14:solidFill>
                    <w14:schemeClr w14:val="tx1"/>
                  </w14:solidFill>
                </w14:textFill>
              </w:rPr>
            </w:pPr>
            <w:r>
              <w:rPr>
                <w:rFonts w:hint="default" w:ascii="Times New Roman" w:hAnsi="Times New Roman" w:cs="Times New Roman"/>
                <w:b/>
                <w:bCs/>
                <w:color w:val="000000" w:themeColor="text1"/>
                <w:szCs w:val="24"/>
                <w:highlight w:val="none"/>
                <w14:textFill>
                  <w14:solidFill>
                    <w14:schemeClr w14:val="tx1"/>
                  </w14:solidFill>
                </w14:textFill>
              </w:rPr>
              <w:t>6、噪声监测要求</w:t>
            </w:r>
          </w:p>
          <w:p w14:paraId="2DB93B22">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本项目噪声监测要求见表4-24。</w:t>
            </w:r>
          </w:p>
          <w:p w14:paraId="361E611E">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表4-24  项目噪声监测要求一览表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7" w:type="dxa"/>
                <w:bottom w:w="0" w:type="dxa"/>
                <w:right w:w="57" w:type="dxa"/>
              </w:tblCellMar>
            </w:tblPr>
            <w:tblGrid>
              <w:gridCol w:w="861"/>
              <w:gridCol w:w="1478"/>
              <w:gridCol w:w="1856"/>
              <w:gridCol w:w="1433"/>
              <w:gridCol w:w="2840"/>
            </w:tblGrid>
            <w:tr w14:paraId="332295E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76" w:hRule="atLeast"/>
                <w:jc w:val="center"/>
              </w:trPr>
              <w:tc>
                <w:tcPr>
                  <w:tcW w:w="508" w:type="pct"/>
                  <w:vAlign w:val="center"/>
                </w:tcPr>
                <w:p w14:paraId="4680869A">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要素</w:t>
                  </w:r>
                </w:p>
              </w:tc>
              <w:tc>
                <w:tcPr>
                  <w:tcW w:w="872" w:type="pct"/>
                  <w:vAlign w:val="center"/>
                </w:tcPr>
                <w:p w14:paraId="4BB89F75">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监测点位</w:t>
                  </w:r>
                </w:p>
              </w:tc>
              <w:tc>
                <w:tcPr>
                  <w:tcW w:w="1096" w:type="pct"/>
                  <w:vAlign w:val="center"/>
                </w:tcPr>
                <w:p w14:paraId="04CA195C">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监测因子</w:t>
                  </w:r>
                </w:p>
              </w:tc>
              <w:tc>
                <w:tcPr>
                  <w:tcW w:w="846" w:type="pct"/>
                  <w:tcBorders>
                    <w:right w:val="single" w:color="auto" w:sz="8" w:space="0"/>
                  </w:tcBorders>
                  <w:vAlign w:val="center"/>
                </w:tcPr>
                <w:p w14:paraId="583B8755">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监测频次</w:t>
                  </w:r>
                </w:p>
              </w:tc>
              <w:tc>
                <w:tcPr>
                  <w:tcW w:w="1677" w:type="pct"/>
                  <w:tcBorders>
                    <w:left w:val="single" w:color="auto" w:sz="8" w:space="0"/>
                  </w:tcBorders>
                  <w:vAlign w:val="center"/>
                </w:tcPr>
                <w:p w14:paraId="7EC3A875">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执行标准</w:t>
                  </w:r>
                </w:p>
              </w:tc>
            </w:tr>
            <w:tr w14:paraId="566704A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7" w:type="dxa"/>
                  <w:bottom w:w="0" w:type="dxa"/>
                  <w:right w:w="57" w:type="dxa"/>
                </w:tblCellMar>
              </w:tblPrEx>
              <w:trPr>
                <w:trHeight w:val="99" w:hRule="atLeast"/>
                <w:jc w:val="center"/>
              </w:trPr>
              <w:tc>
                <w:tcPr>
                  <w:tcW w:w="508" w:type="pct"/>
                  <w:vAlign w:val="center"/>
                </w:tcPr>
                <w:p w14:paraId="50DC9880">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噪声</w:t>
                  </w:r>
                </w:p>
              </w:tc>
              <w:tc>
                <w:tcPr>
                  <w:tcW w:w="872" w:type="pct"/>
                  <w:vAlign w:val="center"/>
                </w:tcPr>
                <w:p w14:paraId="39D35672">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厂房东、西、南、北边界</w:t>
                  </w:r>
                </w:p>
              </w:tc>
              <w:tc>
                <w:tcPr>
                  <w:tcW w:w="1096" w:type="pct"/>
                  <w:vAlign w:val="center"/>
                </w:tcPr>
                <w:p w14:paraId="7BA8151F">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连续等效A声级</w:t>
                  </w:r>
                </w:p>
              </w:tc>
              <w:tc>
                <w:tcPr>
                  <w:tcW w:w="846" w:type="pct"/>
                  <w:tcBorders>
                    <w:right w:val="single" w:color="auto" w:sz="8" w:space="0"/>
                  </w:tcBorders>
                  <w:vAlign w:val="center"/>
                </w:tcPr>
                <w:p w14:paraId="7A3F51ED">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每季度一次</w:t>
                  </w:r>
                </w:p>
              </w:tc>
              <w:tc>
                <w:tcPr>
                  <w:tcW w:w="1677" w:type="pct"/>
                  <w:tcBorders>
                    <w:left w:val="single" w:color="auto" w:sz="8" w:space="0"/>
                  </w:tcBorders>
                  <w:vAlign w:val="center"/>
                </w:tcPr>
                <w:p w14:paraId="6A36E11D">
                  <w:pPr>
                    <w:snapToGrid w:val="0"/>
                    <w:spacing w:line="360" w:lineRule="exact"/>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《工业企业厂界环境噪声排放标准》（GB12348-2008）</w:t>
                  </w:r>
                  <w:r>
                    <w:rPr>
                      <w:rFonts w:hint="default" w:ascii="Times New Roman" w:hAnsi="Times New Roman" w:cs="Times New Roman"/>
                      <w:color w:val="000000" w:themeColor="text1"/>
                      <w:kern w:val="0"/>
                      <w:szCs w:val="21"/>
                      <w:highlight w:val="none"/>
                      <w14:textFill>
                        <w14:solidFill>
                          <w14:schemeClr w14:val="tx1"/>
                        </w14:solidFill>
                      </w14:textFill>
                    </w:rPr>
                    <w:t>3类标准</w:t>
                  </w:r>
                </w:p>
              </w:tc>
            </w:tr>
          </w:tbl>
          <w:p w14:paraId="492A62D1">
            <w:pPr>
              <w:pStyle w:val="21"/>
              <w:spacing w:line="360" w:lineRule="auto"/>
              <w:ind w:left="0" w:leftChars="0"/>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8"/>
                <w:szCs w:val="28"/>
                <w:highlight w:val="none"/>
                <w14:textFill>
                  <w14:solidFill>
                    <w14:schemeClr w14:val="tx1"/>
                  </w14:solidFill>
                </w14:textFill>
              </w:rPr>
              <w:t xml:space="preserve">   </w:t>
            </w:r>
            <w:r>
              <w:rPr>
                <w:rFonts w:hint="default" w:ascii="Times New Roman" w:hAnsi="Times New Roman" w:cs="Times New Roman"/>
                <w:b/>
                <w:color w:val="000000" w:themeColor="text1"/>
                <w:sz w:val="24"/>
                <w:highlight w:val="none"/>
                <w14:textFill>
                  <w14:solidFill>
                    <w14:schemeClr w14:val="tx1"/>
                  </w14:solidFill>
                </w14:textFill>
              </w:rPr>
              <w:t xml:space="preserve"> 四、固体废物</w:t>
            </w:r>
          </w:p>
          <w:p w14:paraId="7A1DD832">
            <w:pPr>
              <w:spacing w:line="360" w:lineRule="auto"/>
              <w:ind w:firstLine="48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1、固体废物产生量核算</w:t>
            </w:r>
          </w:p>
          <w:p w14:paraId="65FBE20F">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本项目运营期产生的固体废物包括一般固废、危险废物和生活垃圾。</w:t>
            </w:r>
          </w:p>
          <w:p w14:paraId="0B1C48DF">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（1）一般固废</w:t>
            </w:r>
          </w:p>
          <w:p w14:paraId="57244A4F">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①金属碎屑</w:t>
            </w:r>
          </w:p>
          <w:p w14:paraId="2643947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本项目金属碎屑来源于机加工序、下料工序，本项目金属碎屑产生量约为0.15t/a，属于一般工业固废，收集后外售综合利用。</w:t>
            </w:r>
          </w:p>
          <w:p w14:paraId="09A44672">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②焊渣</w:t>
            </w:r>
          </w:p>
          <w:p w14:paraId="7E2F3E61">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本项目铆焊工序会产生焊渣，类比同类项目情况，焊渣产生量约为焊丝用量1%，本项目实芯焊丝约17.8t/a，则焊渣产生量约为1.78t/a，收集后外售综合利用。</w:t>
            </w:r>
          </w:p>
          <w:p w14:paraId="75790D91">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③布袋粉尘</w:t>
            </w:r>
          </w:p>
          <w:p w14:paraId="400A571B">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抛丸工序及打磨工序均使用布袋除尘器，通过前章废气中抛丸粉尘的产排污核算可知：抛丸过程中布袋收集金属粉尘约为3.7t/a，收集后外售综合利用；打磨工序布袋收集粉尘约为0.45t/a，收集后委托环卫部门定期清运处理。</w:t>
            </w:r>
          </w:p>
          <w:p w14:paraId="67BC8225">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 xml:space="preserve">④废包材 </w:t>
            </w:r>
          </w:p>
          <w:p w14:paraId="45D9AF64">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本项目原料使用过程中拆包会产生废包装袋、包装箱等，统称为废包材，产生量约1t/a。一般工业固体废物代码为336-000-07，集中收集后暂存于一般固废暂存场所，定期外售物资回收公司。</w:t>
            </w:r>
          </w:p>
          <w:p w14:paraId="4B2A6306">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⑤废砂纸</w:t>
            </w:r>
          </w:p>
          <w:p w14:paraId="3425B2E6">
            <w:pPr>
              <w:spacing w:line="360" w:lineRule="auto"/>
              <w:ind w:firstLine="480"/>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本项目少量工件需要采用腻子粉点补，直接晾干后进行了打磨，打磨过程一般采用砂纸进行打磨，由于打磨工件较少，废砂纸产生量约0.1t/a。</w:t>
            </w:r>
          </w:p>
          <w:p w14:paraId="254CF39A">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⑥</w:t>
            </w:r>
            <w:r>
              <w:rPr>
                <w:rFonts w:hint="default" w:ascii="Times New Roman" w:hAnsi="Times New Roman" w:cs="Times New Roman"/>
                <w:color w:val="000000" w:themeColor="text1"/>
                <w:highlight w:val="none"/>
                <w14:textFill>
                  <w14:solidFill>
                    <w14:schemeClr w14:val="tx1"/>
                  </w14:solidFill>
                </w14:textFill>
              </w:rPr>
              <w:t>边角钢料、机加工废料</w:t>
            </w:r>
          </w:p>
          <w:p w14:paraId="142A30D1">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本项目建设后全厂生产线生产过程中下料切割、机床加工等工序均会产生金属边角料及废钢，边角钢料、机加工废料 10t/a，收集后定期出售。</w:t>
            </w:r>
          </w:p>
          <w:p w14:paraId="319F7B8C">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⑦沉淀池沉渣</w:t>
            </w:r>
          </w:p>
          <w:p w14:paraId="4E53777C">
            <w:pPr>
              <w:pStyle w:val="40"/>
              <w:spacing w:line="360" w:lineRule="auto"/>
              <w:ind w:firstLine="480" w:firstLineChars="20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湿式填充废水经废水收集沉淀池处理后会产生一定量的沉渣，产生量约1t/a，沉渣回用于湿式填充工序。</w:t>
            </w:r>
          </w:p>
          <w:p w14:paraId="731BB0C7">
            <w:pPr>
              <w:ind w:firstLine="480"/>
              <w:jc w:val="cente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表4-2</w:t>
            </w:r>
            <w:r>
              <w:rPr>
                <w:rFonts w:hint="default" w:ascii="Times New Roman" w:hAnsi="Times New Roman" w:eastAsia="黑体" w:cs="Times New Roman"/>
                <w:b/>
                <w:bCs/>
                <w:color w:val="000000" w:themeColor="text1"/>
                <w:highlight w:val="none"/>
                <w14:textFill>
                  <w14:solidFill>
                    <w14:schemeClr w14:val="tx1"/>
                  </w14:solidFill>
                </w14:textFill>
              </w:rPr>
              <w:t>5</w:t>
            </w:r>
            <w:r>
              <w:rPr>
                <w:rFonts w:hint="default" w:ascii="Times New Roman" w:hAnsi="Times New Roman" w:eastAsia="黑体" w:cs="Times New Roman"/>
                <w:b/>
                <w:bCs/>
                <w:color w:val="000000" w:themeColor="text1"/>
                <w:highlight w:val="none"/>
                <w14:textFill>
                  <w14:solidFill>
                    <w14:schemeClr w14:val="tx1"/>
                  </w14:solidFill>
                </w14:textFill>
              </w:rPr>
              <w:t xml:space="preserve">  本项目一般固体废物产生情况汇总表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2020"/>
              <w:gridCol w:w="1711"/>
              <w:gridCol w:w="3943"/>
            </w:tblGrid>
            <w:tr w14:paraId="65635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Align w:val="center"/>
                </w:tcPr>
                <w:p w14:paraId="0859AF3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属性</w:t>
                  </w:r>
                </w:p>
              </w:tc>
              <w:tc>
                <w:tcPr>
                  <w:tcW w:w="1193" w:type="pct"/>
                  <w:vAlign w:val="center"/>
                </w:tcPr>
                <w:p w14:paraId="73A4953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类别</w:t>
                  </w:r>
                </w:p>
              </w:tc>
              <w:tc>
                <w:tcPr>
                  <w:tcW w:w="1010" w:type="pct"/>
                  <w:vAlign w:val="center"/>
                </w:tcPr>
                <w:p w14:paraId="0BFC776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产生量（t/a）</w:t>
                  </w:r>
                </w:p>
              </w:tc>
              <w:tc>
                <w:tcPr>
                  <w:tcW w:w="2327" w:type="pct"/>
                  <w:vAlign w:val="center"/>
                </w:tcPr>
                <w:p w14:paraId="6F7E8FE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处理去向</w:t>
                  </w:r>
                </w:p>
              </w:tc>
            </w:tr>
            <w:tr w14:paraId="52E48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restart"/>
                  <w:vAlign w:val="center"/>
                </w:tcPr>
                <w:p w14:paraId="2FC1A04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一般固废</w:t>
                  </w:r>
                </w:p>
                <w:p w14:paraId="322F34EA">
                  <w:pPr>
                    <w:pStyle w:val="95"/>
                    <w:spacing w:after="0"/>
                    <w:rPr>
                      <w:rFonts w:hint="default" w:ascii="Times New Roman" w:hAnsi="Times New Roman" w:cs="Times New Roman"/>
                      <w:color w:val="000000" w:themeColor="text1"/>
                      <w:highlight w:val="none"/>
                      <w14:textFill>
                        <w14:solidFill>
                          <w14:schemeClr w14:val="tx1"/>
                        </w14:solidFill>
                      </w14:textFill>
                    </w:rPr>
                  </w:pPr>
                </w:p>
                <w:p w14:paraId="580DBC6A">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22020C52">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边角钢料、机加工废料</w:t>
                  </w:r>
                </w:p>
              </w:tc>
              <w:tc>
                <w:tcPr>
                  <w:tcW w:w="1010" w:type="pct"/>
                  <w:vAlign w:val="center"/>
                </w:tcPr>
                <w:p w14:paraId="439F6926">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2327" w:type="pct"/>
                  <w:vMerge w:val="restart"/>
                  <w:vAlign w:val="center"/>
                </w:tcPr>
                <w:p w14:paraId="5591BBF5">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外售综合利用</w:t>
                  </w:r>
                </w:p>
              </w:tc>
            </w:tr>
            <w:tr w14:paraId="4189A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244584EB">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1A08E571">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金属碎屑</w:t>
                  </w:r>
                </w:p>
              </w:tc>
              <w:tc>
                <w:tcPr>
                  <w:tcW w:w="1010" w:type="pct"/>
                  <w:vAlign w:val="center"/>
                </w:tcPr>
                <w:p w14:paraId="6256F11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0.15</w:t>
                  </w:r>
                </w:p>
              </w:tc>
              <w:tc>
                <w:tcPr>
                  <w:tcW w:w="2327" w:type="pct"/>
                  <w:vMerge w:val="continue"/>
                  <w:vAlign w:val="center"/>
                </w:tcPr>
                <w:p w14:paraId="3C6D20A2">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6A08E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5A259554">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6EDE9FAA">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焊渣</w:t>
                  </w:r>
                </w:p>
              </w:tc>
              <w:tc>
                <w:tcPr>
                  <w:tcW w:w="1010" w:type="pct"/>
                  <w:vAlign w:val="center"/>
                </w:tcPr>
                <w:p w14:paraId="6DA02907">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1.78</w:t>
                  </w:r>
                </w:p>
              </w:tc>
              <w:tc>
                <w:tcPr>
                  <w:tcW w:w="2327" w:type="pct"/>
                  <w:vMerge w:val="continue"/>
                  <w:vAlign w:val="center"/>
                </w:tcPr>
                <w:p w14:paraId="3452DD84">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5F5CD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71AE903A">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50DFFF79">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抛丸布袋粉尘</w:t>
                  </w:r>
                </w:p>
              </w:tc>
              <w:tc>
                <w:tcPr>
                  <w:tcW w:w="1010" w:type="pct"/>
                  <w:vAlign w:val="center"/>
                </w:tcPr>
                <w:p w14:paraId="3C58AF4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4.15</w:t>
                  </w:r>
                </w:p>
              </w:tc>
              <w:tc>
                <w:tcPr>
                  <w:tcW w:w="2327" w:type="pct"/>
                  <w:vMerge w:val="continue"/>
                  <w:vAlign w:val="center"/>
                </w:tcPr>
                <w:p w14:paraId="31492D55">
                  <w:pPr>
                    <w:pStyle w:val="95"/>
                    <w:spacing w:after="0"/>
                    <w:rPr>
                      <w:rFonts w:hint="default" w:ascii="Times New Roman" w:hAnsi="Times New Roman" w:cs="Times New Roman"/>
                      <w:color w:val="000000" w:themeColor="text1"/>
                      <w:highlight w:val="none"/>
                      <w14:textFill>
                        <w14:solidFill>
                          <w14:schemeClr w14:val="tx1"/>
                        </w14:solidFill>
                      </w14:textFill>
                    </w:rPr>
                  </w:pPr>
                </w:p>
              </w:tc>
            </w:tr>
            <w:tr w14:paraId="39AEC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07B0A232">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1E4B1C6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打磨布袋粉尘</w:t>
                  </w:r>
                </w:p>
              </w:tc>
              <w:tc>
                <w:tcPr>
                  <w:tcW w:w="1010" w:type="pct"/>
                  <w:vAlign w:val="center"/>
                </w:tcPr>
                <w:p w14:paraId="428E474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0.075</w:t>
                  </w:r>
                </w:p>
              </w:tc>
              <w:tc>
                <w:tcPr>
                  <w:tcW w:w="2327" w:type="pct"/>
                  <w:vAlign w:val="center"/>
                </w:tcPr>
                <w:p w14:paraId="67516C25">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收集后委托环卫部门定期清运处理</w:t>
                  </w:r>
                </w:p>
              </w:tc>
            </w:tr>
            <w:tr w14:paraId="081A1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00843E3F">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6C54B6E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废包材 </w:t>
                  </w:r>
                </w:p>
              </w:tc>
              <w:tc>
                <w:tcPr>
                  <w:tcW w:w="1010" w:type="pct"/>
                  <w:vAlign w:val="center"/>
                </w:tcPr>
                <w:p w14:paraId="08F88DD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2327" w:type="pct"/>
                  <w:vAlign w:val="center"/>
                </w:tcPr>
                <w:p w14:paraId="4267184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暂存于一般固废暂存场所，定期外售物资回收公司</w:t>
                  </w:r>
                </w:p>
              </w:tc>
            </w:tr>
            <w:tr w14:paraId="668A8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6BAD6B4C">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76FA2DE7">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废砂纸</w:t>
                  </w:r>
                </w:p>
              </w:tc>
              <w:tc>
                <w:tcPr>
                  <w:tcW w:w="1010" w:type="pct"/>
                  <w:vAlign w:val="center"/>
                </w:tcPr>
                <w:p w14:paraId="76BFFB5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2327" w:type="pct"/>
                  <w:vAlign w:val="center"/>
                </w:tcPr>
                <w:p w14:paraId="3E192AC4">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收集后委托环卫部门定期清运处理</w:t>
                  </w:r>
                </w:p>
              </w:tc>
            </w:tr>
            <w:tr w14:paraId="0A5AD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8" w:type="pct"/>
                  <w:vMerge w:val="continue"/>
                  <w:vAlign w:val="center"/>
                </w:tcPr>
                <w:p w14:paraId="6A851C52">
                  <w:pPr>
                    <w:pStyle w:val="95"/>
                    <w:spacing w:after="0"/>
                    <w:rPr>
                      <w:rFonts w:hint="default" w:ascii="Times New Roman" w:hAnsi="Times New Roman" w:cs="Times New Roman"/>
                      <w:color w:val="000000" w:themeColor="text1"/>
                      <w:highlight w:val="none"/>
                      <w14:textFill>
                        <w14:solidFill>
                          <w14:schemeClr w14:val="tx1"/>
                        </w14:solidFill>
                      </w14:textFill>
                    </w:rPr>
                  </w:pPr>
                </w:p>
              </w:tc>
              <w:tc>
                <w:tcPr>
                  <w:tcW w:w="1193" w:type="pct"/>
                  <w:vAlign w:val="center"/>
                </w:tcPr>
                <w:p w14:paraId="0F9C5EC4">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沉淀池沉渣</w:t>
                  </w:r>
                </w:p>
              </w:tc>
              <w:tc>
                <w:tcPr>
                  <w:tcW w:w="1010" w:type="pct"/>
                  <w:vAlign w:val="center"/>
                </w:tcPr>
                <w:p w14:paraId="7CEC4B08">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w:t>
                  </w:r>
                </w:p>
              </w:tc>
              <w:tc>
                <w:tcPr>
                  <w:tcW w:w="2327" w:type="pct"/>
                  <w:vAlign w:val="center"/>
                </w:tcPr>
                <w:p w14:paraId="10077D34">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回用于湿式填充工序</w:t>
                  </w:r>
                </w:p>
              </w:tc>
            </w:tr>
          </w:tbl>
          <w:p w14:paraId="5A87E88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（2）危险废物</w:t>
            </w:r>
          </w:p>
          <w:p w14:paraId="2AF11E0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①漆渣</w:t>
            </w:r>
          </w:p>
          <w:p w14:paraId="7F1A8E5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项目喷漆生产线水喷淋的漆渣经絮凝沉淀后定期清捞，根据废气污染源分析可知喷漆过程水喷淋吸附的漆雾量约为0.</w:t>
            </w:r>
            <w:r>
              <w:rPr>
                <w:rFonts w:hint="default" w:ascii="Times New Roman" w:hAnsi="Times New Roman" w:cs="Times New Roman"/>
                <w:color w:val="000000" w:themeColor="text1"/>
                <w:sz w:val="24"/>
                <w:highlight w:val="none"/>
                <w14:textFill>
                  <w14:solidFill>
                    <w14:schemeClr w14:val="tx1"/>
                  </w14:solidFill>
                </w14:textFill>
              </w:rPr>
              <w:t>932</w:t>
            </w:r>
            <w:r>
              <w:rPr>
                <w:rFonts w:hint="default" w:ascii="Times New Roman" w:hAnsi="Times New Roman" w:cs="Times New Roman"/>
                <w:color w:val="000000" w:themeColor="text1"/>
                <w:sz w:val="24"/>
                <w:highlight w:val="none"/>
                <w14:textFill>
                  <w14:solidFill>
                    <w14:schemeClr w14:val="tx1"/>
                  </w14:solidFill>
                </w14:textFill>
              </w:rPr>
              <w:t>t/a，漆渣含水率约为15%，</w:t>
            </w:r>
            <w:r>
              <w:rPr>
                <w:rFonts w:hint="default" w:ascii="Times New Roman" w:hAnsi="Times New Roman" w:cs="Times New Roman"/>
                <w:color w:val="000000" w:themeColor="text1"/>
                <w:sz w:val="24"/>
                <w:highlight w:val="none"/>
                <w:u w:val="single"/>
                <w14:textFill>
                  <w14:solidFill>
                    <w14:schemeClr w14:val="tx1"/>
                  </w14:solidFill>
                </w14:textFill>
              </w:rPr>
              <w:t>故漆渣产生量为</w:t>
            </w:r>
            <w:r>
              <w:rPr>
                <w:rFonts w:hint="default" w:ascii="Times New Roman" w:hAnsi="Times New Roman" w:cs="Times New Roman"/>
                <w:color w:val="000000" w:themeColor="text1"/>
                <w:sz w:val="24"/>
                <w:highlight w:val="none"/>
                <w:u w:val="single"/>
                <w14:textFill>
                  <w14:solidFill>
                    <w14:schemeClr w14:val="tx1"/>
                  </w14:solidFill>
                </w14:textFill>
              </w:rPr>
              <w:t>0.885</w:t>
            </w:r>
            <w:r>
              <w:rPr>
                <w:rFonts w:hint="default" w:ascii="Times New Roman" w:hAnsi="Times New Roman" w:cs="Times New Roman"/>
                <w:color w:val="000000" w:themeColor="text1"/>
                <w:sz w:val="24"/>
                <w:highlight w:val="none"/>
                <w:u w:val="single"/>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属于危险废物HW12染料、涂料废物，危废代码为900-252-12，收集暂存于危废暂存间，定期委托有危废资质单位处置。</w:t>
            </w:r>
          </w:p>
          <w:p w14:paraId="38D4AE73">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②废活性炭</w:t>
            </w:r>
          </w:p>
          <w:p w14:paraId="523546D2">
            <w:pPr>
              <w:pStyle w:val="81"/>
              <w:ind w:firstLine="48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本项目运营期喷漆产生的挥发性有机废气均采用活性炭进行吸附/脱附，需定期对活性炭进行更换，</w:t>
            </w:r>
            <w:r>
              <w:rPr>
                <w:rFonts w:hint="default" w:ascii="Times New Roman" w:hAnsi="Times New Roman" w:cs="Times New Roman"/>
                <w:color w:val="000000" w:themeColor="text1"/>
                <w:highlight w:val="none"/>
                <w:u w:val="single"/>
                <w14:textFill>
                  <w14:solidFill>
                    <w14:schemeClr w14:val="tx1"/>
                  </w14:solidFill>
                </w14:textFill>
              </w:rPr>
              <w:t>活性炭去除有机废气量约为3.97t/a，根据《现代涂装手册》（化学工业出版社，陈治良主编），活性炭吸附容量一般为25%左右，则本项目年产生废活性炭15.88t/a，为保证吸附效率，活性炭吸附装置每3个月更换一次，每次补充活性炭5.29t。废活性炭属危险废物，按《国家危险废物名录》</w:t>
            </w:r>
            <w:r>
              <w:rPr>
                <w:rFonts w:hint="default" w:ascii="Times New Roman" w:hAnsi="Times New Roman" w:cs="Times New Roman"/>
                <w:color w:val="000000" w:themeColor="text1"/>
                <w:highlight w:val="none"/>
                <w:u w:val="single"/>
                <w14:textFill>
                  <w14:solidFill>
                    <w14:schemeClr w14:val="tx1"/>
                  </w14:solidFill>
                </w14:textFill>
              </w:rPr>
              <w:t>（2021年）</w:t>
            </w:r>
            <w:r>
              <w:rPr>
                <w:rFonts w:hint="default" w:ascii="Times New Roman" w:hAnsi="Times New Roman" w:cs="Times New Roman"/>
                <w:color w:val="000000" w:themeColor="text1"/>
                <w:highlight w:val="none"/>
                <w:u w:val="single"/>
                <w14:textFill>
                  <w14:solidFill>
                    <w14:schemeClr w14:val="tx1"/>
                  </w14:solidFill>
                </w14:textFill>
              </w:rPr>
              <w:t>，废物类别为 HW49，废物代码为 900-039-49，废活性炭暂存于危险废物暂存间，交由有资质单位处理。</w:t>
            </w:r>
          </w:p>
          <w:p w14:paraId="60EAC65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③废油性油漆桶、废稀释剂桶、废固化剂桶</w:t>
            </w:r>
          </w:p>
          <w:p w14:paraId="29C818E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本项目油性漆用量为3.801t/a，基本规格为25kg/桶，空桶质量约为0.5kg/个，故废桶产生约为0.1t/a，主要有害成分为油漆，呈固态。危废类别为 HW49，危废代码为 900-041-49，收集暂存于危废暂存间，定期委托有危废资质单位处置。</w:t>
            </w:r>
          </w:p>
          <w:p w14:paraId="7C7118B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④废机油、废润滑油及废油桶</w:t>
            </w:r>
          </w:p>
          <w:p w14:paraId="19CDC51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设备维保会产生一定量废机油和废润滑油，根据建设单位提供资料，废机油、废润滑油产生量约为0.2t/a，共计约0.2t/a，属于“HW08废矿物油与含矿物油废物”，危废代码“900-214-08”，暂存于危废暂存间委托有危废处理资质单位统一处理；废油桶产生量约0.3t/a，属于“HW49其他废物”，危废代码“900-041-4”，暂存于危废暂存间委托有危废处理资质单位统一处理。</w:t>
            </w:r>
          </w:p>
          <w:p w14:paraId="060E445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bidi="ar"/>
                <w14:textFill>
                  <w14:solidFill>
                    <w14:schemeClr w14:val="tx1"/>
                  </w14:solidFill>
                </w14:textFill>
              </w:rPr>
              <w:t>⑤</w:t>
            </w:r>
            <w:r>
              <w:rPr>
                <w:rFonts w:hint="default" w:ascii="Times New Roman" w:hAnsi="Times New Roman" w:cs="Times New Roman"/>
                <w:color w:val="000000" w:themeColor="text1"/>
                <w:sz w:val="24"/>
                <w:highlight w:val="none"/>
                <w14:textFill>
                  <w14:solidFill>
                    <w14:schemeClr w14:val="tx1"/>
                  </w14:solidFill>
                </w14:textFill>
              </w:rPr>
              <w:t>漆雾吸收废水</w:t>
            </w:r>
          </w:p>
          <w:p w14:paraId="6C60A0A9">
            <w:pPr>
              <w:widowControl/>
              <w:spacing w:line="360" w:lineRule="auto"/>
              <w:ind w:firstLine="480" w:firstLineChars="200"/>
              <w:jc w:val="left"/>
              <w:rPr>
                <w:rFonts w:hint="default" w:ascii="Times New Roman" w:hAnsi="Times New Roman" w:cs="Times New Roman"/>
                <w:color w:val="000000" w:themeColor="text1"/>
                <w:sz w:val="24"/>
                <w:highlight w:val="none"/>
                <w:lang w:bidi="ar"/>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厂区喷漆生产线设置水喷淋循环水系统用于对喷漆产生的漆雾吸收，储水池漆渣絮凝沉淀后定期捞渣，废液每两年处理一次，处理废液量约2t/次，则每年约为1t/a，属于危险废物HW49（900-041-49），定期交由有资质单位处理处置。</w:t>
            </w:r>
          </w:p>
          <w:p w14:paraId="5200522E">
            <w:pPr>
              <w:widowControl/>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⑥含油废劳保用品</w:t>
            </w:r>
          </w:p>
          <w:p w14:paraId="715D8001">
            <w:pPr>
              <w:widowControl/>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项目机械设备维修过程中会产生矿物油跑冒滴漏的情况需要戴手套用抹布擦拭。根据建设方提供资料，则项目含油废劳保用品年产生量约为0.5t/a，根据《国家危险废物名录》（2021 版）含油废劳保用品属于“HW49 其他废物（900-041-49）”，统一收集后委托有危废处理资质单位统一处理。</w:t>
            </w:r>
          </w:p>
          <w:p w14:paraId="2B04A9A4">
            <w:pPr>
              <w:widowControl/>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kern w:val="0"/>
                <w:sz w:val="24"/>
                <w:highlight w:val="none"/>
                <w:lang w:bidi="ar"/>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⑦废</w:t>
            </w:r>
            <w:r>
              <w:rPr>
                <w:rFonts w:hint="default" w:ascii="Times New Roman" w:hAnsi="Times New Roman" w:cs="Times New Roman"/>
                <w:color w:val="000000" w:themeColor="text1"/>
                <w:kern w:val="0"/>
                <w:sz w:val="24"/>
                <w:highlight w:val="none"/>
                <w:lang w:bidi="ar"/>
                <w14:textFill>
                  <w14:solidFill>
                    <w14:schemeClr w14:val="tx1"/>
                  </w14:solidFill>
                </w14:textFill>
              </w:rPr>
              <w:t>清洗剂</w:t>
            </w:r>
          </w:p>
          <w:p w14:paraId="6CECB50B">
            <w:pPr>
              <w:widowControl/>
              <w:autoSpaceDE w:val="0"/>
              <w:autoSpaceDN w:val="0"/>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喷枪清洗过程中产生的失效、变质的废清洗剂，主要喷枪清洗沉渣等，按清洗剂回收率的80%计，则废有机溶剂产生量约为 0.024t/a，</w:t>
            </w:r>
            <w:r>
              <w:rPr>
                <w:rFonts w:hint="default" w:ascii="Times New Roman" w:hAnsi="Times New Roman" w:cs="Times New Roman"/>
                <w:color w:val="000000" w:themeColor="text1"/>
                <w:sz w:val="24"/>
                <w:highlight w:val="none"/>
                <w14:textFill>
                  <w14:solidFill>
                    <w14:schemeClr w14:val="tx1"/>
                  </w14:solidFill>
                </w14:textFill>
              </w:rPr>
              <w:t>属于危险废物HW12染料、涂料废物</w:t>
            </w:r>
            <w:r>
              <w:rPr>
                <w:rFonts w:hint="default" w:ascii="Times New Roman" w:hAnsi="Times New Roman" w:cs="Times New Roman"/>
                <w:color w:val="000000" w:themeColor="text1"/>
                <w:kern w:val="0"/>
                <w:sz w:val="24"/>
                <w:highlight w:val="none"/>
                <w:lang w:bidi="ar"/>
                <w14:textFill>
                  <w14:solidFill>
                    <w14:schemeClr w14:val="tx1"/>
                  </w14:solidFill>
                </w14:textFill>
              </w:rPr>
              <w:t>，代码为 900-299-12，收集后暂存于危废站，定期交由有资质单位处置。</w:t>
            </w:r>
          </w:p>
          <w:p w14:paraId="4FEA573D">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具体项目危险固废产生特性见下表。</w:t>
            </w:r>
          </w:p>
          <w:p w14:paraId="6C219CE5">
            <w:pPr>
              <w:ind w:firstLine="480"/>
              <w:jc w:val="center"/>
              <w:rPr>
                <w:rFonts w:hint="default" w:ascii="Times New Roman" w:hAnsi="Times New Roman" w:eastAsia="黑体" w:cs="Times New Roman"/>
                <w:b/>
                <w:bCs/>
                <w:color w:val="000000" w:themeColor="text1"/>
                <w:highlight w:val="none"/>
                <w14:textFill>
                  <w14:solidFill>
                    <w14:schemeClr w14:val="tx1"/>
                  </w14:solidFill>
                </w14:textFill>
              </w:rPr>
            </w:pPr>
            <w:r>
              <w:rPr>
                <w:rFonts w:hint="default" w:ascii="Times New Roman" w:hAnsi="Times New Roman" w:eastAsia="黑体" w:cs="Times New Roman"/>
                <w:b/>
                <w:bCs/>
                <w:color w:val="000000" w:themeColor="text1"/>
                <w:highlight w:val="none"/>
                <w14:textFill>
                  <w14:solidFill>
                    <w14:schemeClr w14:val="tx1"/>
                  </w14:solidFill>
                </w14:textFill>
              </w:rPr>
              <w:t>表4-2</w:t>
            </w:r>
            <w:r>
              <w:rPr>
                <w:rFonts w:hint="default" w:ascii="Times New Roman" w:hAnsi="Times New Roman" w:eastAsia="黑体" w:cs="Times New Roman"/>
                <w:b/>
                <w:bCs/>
                <w:color w:val="000000" w:themeColor="text1"/>
                <w:highlight w:val="none"/>
                <w14:textFill>
                  <w14:solidFill>
                    <w14:schemeClr w14:val="tx1"/>
                  </w14:solidFill>
                </w14:textFill>
              </w:rPr>
              <w:t>6</w:t>
            </w:r>
            <w:r>
              <w:rPr>
                <w:rFonts w:hint="default" w:ascii="Times New Roman" w:hAnsi="Times New Roman" w:eastAsia="黑体" w:cs="Times New Roman"/>
                <w:b/>
                <w:bCs/>
                <w:color w:val="000000" w:themeColor="text1"/>
                <w:highlight w:val="none"/>
                <w14:textFill>
                  <w14:solidFill>
                    <w14:schemeClr w14:val="tx1"/>
                  </w14:solidFill>
                </w14:textFill>
              </w:rPr>
              <w:t xml:space="preserve">   项目危险固废产生及处置情况一览表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865"/>
              <w:gridCol w:w="881"/>
              <w:gridCol w:w="970"/>
              <w:gridCol w:w="789"/>
              <w:gridCol w:w="804"/>
              <w:gridCol w:w="610"/>
              <w:gridCol w:w="820"/>
              <w:gridCol w:w="640"/>
              <w:gridCol w:w="611"/>
              <w:gridCol w:w="996"/>
            </w:tblGrid>
            <w:tr w14:paraId="0C299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84" w:type="pct"/>
                  <w:vAlign w:val="center"/>
                </w:tcPr>
                <w:p w14:paraId="608CDFF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序号</w:t>
                  </w:r>
                </w:p>
              </w:tc>
              <w:tc>
                <w:tcPr>
                  <w:tcW w:w="509" w:type="pct"/>
                  <w:vAlign w:val="center"/>
                </w:tcPr>
                <w:p w14:paraId="1778305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危险废物名称</w:t>
                  </w:r>
                </w:p>
              </w:tc>
              <w:tc>
                <w:tcPr>
                  <w:tcW w:w="519" w:type="pct"/>
                  <w:vAlign w:val="center"/>
                </w:tcPr>
                <w:p w14:paraId="78E342E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危险废物类别</w:t>
                  </w:r>
                </w:p>
              </w:tc>
              <w:tc>
                <w:tcPr>
                  <w:tcW w:w="572" w:type="pct"/>
                  <w:vAlign w:val="center"/>
                </w:tcPr>
                <w:p w14:paraId="4189CAA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危险废物代码</w:t>
                  </w:r>
                </w:p>
              </w:tc>
              <w:tc>
                <w:tcPr>
                  <w:tcW w:w="466" w:type="pct"/>
                  <w:vAlign w:val="center"/>
                </w:tcPr>
                <w:p w14:paraId="5E30D19E">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产生量</w:t>
                  </w:r>
                </w:p>
                <w:p w14:paraId="11E68FE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t/a</w:t>
                  </w:r>
                </w:p>
              </w:tc>
              <w:tc>
                <w:tcPr>
                  <w:tcW w:w="475" w:type="pct"/>
                  <w:vAlign w:val="center"/>
                </w:tcPr>
                <w:p w14:paraId="552ACA1C">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产生工序及装置</w:t>
                  </w:r>
                </w:p>
              </w:tc>
              <w:tc>
                <w:tcPr>
                  <w:tcW w:w="360" w:type="pct"/>
                  <w:vAlign w:val="center"/>
                </w:tcPr>
                <w:p w14:paraId="65987B6C">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形态</w:t>
                  </w:r>
                </w:p>
              </w:tc>
              <w:tc>
                <w:tcPr>
                  <w:tcW w:w="484" w:type="pct"/>
                  <w:vAlign w:val="center"/>
                </w:tcPr>
                <w:p w14:paraId="25C3C39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主要成分</w:t>
                  </w:r>
                </w:p>
              </w:tc>
              <w:tc>
                <w:tcPr>
                  <w:tcW w:w="378" w:type="pct"/>
                  <w:vAlign w:val="center"/>
                </w:tcPr>
                <w:p w14:paraId="62342EA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产废</w:t>
                  </w:r>
                </w:p>
                <w:p w14:paraId="06EECDF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周期</w:t>
                  </w:r>
                </w:p>
              </w:tc>
              <w:tc>
                <w:tcPr>
                  <w:tcW w:w="361" w:type="pct"/>
                  <w:vAlign w:val="center"/>
                </w:tcPr>
                <w:p w14:paraId="125FEB3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危险特性</w:t>
                  </w:r>
                </w:p>
              </w:tc>
              <w:tc>
                <w:tcPr>
                  <w:tcW w:w="587" w:type="pct"/>
                  <w:vAlign w:val="center"/>
                </w:tcPr>
                <w:p w14:paraId="04CECA0A">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污染防治措施</w:t>
                  </w:r>
                </w:p>
              </w:tc>
            </w:tr>
            <w:tr w14:paraId="340F7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shd w:val="clear" w:color="auto" w:fill="auto"/>
                  <w:vAlign w:val="center"/>
                </w:tcPr>
                <w:p w14:paraId="31DA09E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509" w:type="pct"/>
                  <w:shd w:val="clear" w:color="auto" w:fill="auto"/>
                  <w:vAlign w:val="center"/>
                </w:tcPr>
                <w:p w14:paraId="14BA2A20">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漆雾吸收废水</w:t>
                  </w:r>
                </w:p>
              </w:tc>
              <w:tc>
                <w:tcPr>
                  <w:tcW w:w="519" w:type="pct"/>
                  <w:shd w:val="clear" w:color="auto" w:fill="auto"/>
                  <w:vAlign w:val="center"/>
                </w:tcPr>
                <w:p w14:paraId="44EECD3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572" w:type="pct"/>
                  <w:shd w:val="clear" w:color="auto" w:fill="auto"/>
                  <w:vAlign w:val="center"/>
                </w:tcPr>
                <w:p w14:paraId="18447F2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66" w:type="pct"/>
                  <w:shd w:val="clear" w:color="auto" w:fill="auto"/>
                  <w:vAlign w:val="center"/>
                </w:tcPr>
                <w:p w14:paraId="16CF5E9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475" w:type="pct"/>
                  <w:shd w:val="clear" w:color="auto" w:fill="auto"/>
                  <w:vAlign w:val="center"/>
                </w:tcPr>
                <w:p w14:paraId="2C6C11F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喷漆环保工序</w:t>
                  </w:r>
                </w:p>
              </w:tc>
              <w:tc>
                <w:tcPr>
                  <w:tcW w:w="360" w:type="pct"/>
                  <w:shd w:val="clear" w:color="auto" w:fill="auto"/>
                  <w:vAlign w:val="center"/>
                </w:tcPr>
                <w:p w14:paraId="48F9B4B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液态</w:t>
                  </w:r>
                </w:p>
              </w:tc>
              <w:tc>
                <w:tcPr>
                  <w:tcW w:w="484" w:type="pct"/>
                  <w:shd w:val="clear" w:color="auto" w:fill="auto"/>
                  <w:vAlign w:val="center"/>
                </w:tcPr>
                <w:p w14:paraId="2E9628E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shd w:val="clear" w:color="auto" w:fill="auto"/>
                  <w:vAlign w:val="center"/>
                </w:tcPr>
                <w:p w14:paraId="51AC9CCE">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1年/次</w:t>
                  </w:r>
                </w:p>
              </w:tc>
              <w:tc>
                <w:tcPr>
                  <w:tcW w:w="361" w:type="pct"/>
                  <w:shd w:val="clear" w:color="auto" w:fill="auto"/>
                  <w:vAlign w:val="center"/>
                </w:tcPr>
                <w:p w14:paraId="6608781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T/Tn</w:t>
                  </w:r>
                </w:p>
              </w:tc>
              <w:tc>
                <w:tcPr>
                  <w:tcW w:w="587" w:type="pct"/>
                  <w:vAlign w:val="center"/>
                </w:tcPr>
                <w:p w14:paraId="6DF39106">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不在厂区内暂存，更换时由有资质的单位直接罐车托运</w:t>
                  </w:r>
                </w:p>
              </w:tc>
            </w:tr>
            <w:tr w14:paraId="2AC44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shd w:val="clear" w:color="auto" w:fill="auto"/>
                  <w:vAlign w:val="center"/>
                </w:tcPr>
                <w:p w14:paraId="4FCA7F7F">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2</w:t>
                  </w:r>
                </w:p>
              </w:tc>
              <w:tc>
                <w:tcPr>
                  <w:tcW w:w="509" w:type="pct"/>
                  <w:shd w:val="clear" w:color="auto" w:fill="auto"/>
                  <w:vAlign w:val="center"/>
                </w:tcPr>
                <w:p w14:paraId="2689FF82">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漆渣</w:t>
                  </w:r>
                </w:p>
              </w:tc>
              <w:tc>
                <w:tcPr>
                  <w:tcW w:w="519" w:type="pct"/>
                  <w:shd w:val="clear" w:color="auto" w:fill="auto"/>
                  <w:vAlign w:val="center"/>
                </w:tcPr>
                <w:p w14:paraId="171BE5F0">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HW12</w:t>
                  </w:r>
                </w:p>
              </w:tc>
              <w:tc>
                <w:tcPr>
                  <w:tcW w:w="572" w:type="pct"/>
                  <w:shd w:val="clear" w:color="auto" w:fill="auto"/>
                  <w:vAlign w:val="center"/>
                </w:tcPr>
                <w:p w14:paraId="2450D526">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900-252-12</w:t>
                  </w:r>
                </w:p>
              </w:tc>
              <w:tc>
                <w:tcPr>
                  <w:tcW w:w="466" w:type="pct"/>
                  <w:shd w:val="clear" w:color="auto" w:fill="auto"/>
                  <w:vAlign w:val="center"/>
                </w:tcPr>
                <w:p w14:paraId="4C0DC5AE">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w:t>
                  </w:r>
                  <w:r>
                    <w:rPr>
                      <w:rFonts w:hint="default" w:ascii="Times New Roman" w:hAnsi="Times New Roman" w:cs="Times New Roman"/>
                      <w:color w:val="000000" w:themeColor="text1"/>
                      <w:highlight w:val="none"/>
                      <w:u w:val="single"/>
                      <w14:textFill>
                        <w14:solidFill>
                          <w14:schemeClr w14:val="tx1"/>
                        </w14:solidFill>
                      </w14:textFill>
                    </w:rPr>
                    <w:t>885</w:t>
                  </w:r>
                </w:p>
              </w:tc>
              <w:tc>
                <w:tcPr>
                  <w:tcW w:w="475" w:type="pct"/>
                  <w:shd w:val="clear" w:color="auto" w:fill="auto"/>
                  <w:vAlign w:val="center"/>
                </w:tcPr>
                <w:p w14:paraId="47658AD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喷漆工序</w:t>
                  </w:r>
                </w:p>
              </w:tc>
              <w:tc>
                <w:tcPr>
                  <w:tcW w:w="360" w:type="pct"/>
                  <w:shd w:val="clear" w:color="auto" w:fill="auto"/>
                  <w:vAlign w:val="center"/>
                </w:tcPr>
                <w:p w14:paraId="1D8D144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固态</w:t>
                  </w:r>
                </w:p>
              </w:tc>
              <w:tc>
                <w:tcPr>
                  <w:tcW w:w="484" w:type="pct"/>
                  <w:shd w:val="clear" w:color="auto" w:fill="auto"/>
                  <w:vAlign w:val="center"/>
                </w:tcPr>
                <w:p w14:paraId="484FD96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shd w:val="clear" w:color="auto" w:fill="auto"/>
                  <w:vAlign w:val="center"/>
                </w:tcPr>
                <w:p w14:paraId="3A536C8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c>
                <w:tcPr>
                  <w:tcW w:w="361" w:type="pct"/>
                  <w:shd w:val="clear" w:color="auto" w:fill="auto"/>
                  <w:vAlign w:val="center"/>
                </w:tcPr>
                <w:p w14:paraId="2D774E69">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T、I</w:t>
                  </w:r>
                </w:p>
              </w:tc>
              <w:tc>
                <w:tcPr>
                  <w:tcW w:w="587" w:type="pct"/>
                  <w:vMerge w:val="restart"/>
                  <w:vAlign w:val="center"/>
                </w:tcPr>
                <w:p w14:paraId="5507E40A">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分类收集至危废暂存间暂存后，定期交由有资质单位处理处置.</w:t>
                  </w:r>
                </w:p>
              </w:tc>
            </w:tr>
            <w:tr w14:paraId="4961E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shd w:val="clear" w:color="auto" w:fill="auto"/>
                  <w:vAlign w:val="center"/>
                </w:tcPr>
                <w:p w14:paraId="4622095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3</w:t>
                  </w:r>
                </w:p>
              </w:tc>
              <w:tc>
                <w:tcPr>
                  <w:tcW w:w="509" w:type="pct"/>
                  <w:shd w:val="clear" w:color="auto" w:fill="auto"/>
                  <w:vAlign w:val="center"/>
                </w:tcPr>
                <w:p w14:paraId="22CC8208">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14:textFill>
                        <w14:solidFill>
                          <w14:schemeClr w14:val="tx1"/>
                        </w14:solidFill>
                      </w14:textFill>
                    </w:rPr>
                    <w:t>废活性炭</w:t>
                  </w:r>
                </w:p>
              </w:tc>
              <w:tc>
                <w:tcPr>
                  <w:tcW w:w="519" w:type="pct"/>
                  <w:shd w:val="clear" w:color="auto" w:fill="auto"/>
                  <w:vAlign w:val="center"/>
                </w:tcPr>
                <w:p w14:paraId="1AA52E5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HW49</w:t>
                  </w:r>
                </w:p>
              </w:tc>
              <w:tc>
                <w:tcPr>
                  <w:tcW w:w="572" w:type="pct"/>
                  <w:shd w:val="clear" w:color="auto" w:fill="auto"/>
                  <w:vAlign w:val="center"/>
                </w:tcPr>
                <w:p w14:paraId="4DEEC93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900-039-49</w:t>
                  </w:r>
                </w:p>
              </w:tc>
              <w:tc>
                <w:tcPr>
                  <w:tcW w:w="466" w:type="pct"/>
                  <w:shd w:val="clear" w:color="auto" w:fill="auto"/>
                  <w:vAlign w:val="center"/>
                </w:tcPr>
                <w:p w14:paraId="5CAA437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c>
                <w:tcPr>
                  <w:tcW w:w="475" w:type="pct"/>
                  <w:shd w:val="clear" w:color="auto" w:fill="auto"/>
                  <w:vAlign w:val="center"/>
                </w:tcPr>
                <w:p w14:paraId="0AEBB33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环保措施</w:t>
                  </w:r>
                </w:p>
              </w:tc>
              <w:tc>
                <w:tcPr>
                  <w:tcW w:w="360" w:type="pct"/>
                  <w:shd w:val="clear" w:color="auto" w:fill="auto"/>
                  <w:vAlign w:val="center"/>
                </w:tcPr>
                <w:p w14:paraId="0F47A75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固态</w:t>
                  </w:r>
                </w:p>
              </w:tc>
              <w:tc>
                <w:tcPr>
                  <w:tcW w:w="484" w:type="pct"/>
                  <w:shd w:val="clear" w:color="auto" w:fill="auto"/>
                  <w:vAlign w:val="center"/>
                </w:tcPr>
                <w:p w14:paraId="4AEB845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吸附毒性活性炭</w:t>
                  </w:r>
                </w:p>
              </w:tc>
              <w:tc>
                <w:tcPr>
                  <w:tcW w:w="378" w:type="pct"/>
                  <w:shd w:val="clear" w:color="auto" w:fill="auto"/>
                  <w:vAlign w:val="center"/>
                </w:tcPr>
                <w:p w14:paraId="48406E8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半年/次</w:t>
                  </w:r>
                </w:p>
              </w:tc>
              <w:tc>
                <w:tcPr>
                  <w:tcW w:w="361" w:type="pct"/>
                  <w:shd w:val="clear" w:color="auto" w:fill="auto"/>
                  <w:vAlign w:val="center"/>
                </w:tcPr>
                <w:p w14:paraId="6ADDB72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w:t>
                  </w:r>
                </w:p>
              </w:tc>
              <w:tc>
                <w:tcPr>
                  <w:tcW w:w="587" w:type="pct"/>
                  <w:vMerge w:val="continue"/>
                  <w:vAlign w:val="center"/>
                </w:tcPr>
                <w:p w14:paraId="56C7C87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r w14:paraId="5DB94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shd w:val="clear" w:color="auto" w:fill="auto"/>
                  <w:vAlign w:val="center"/>
                </w:tcPr>
                <w:p w14:paraId="4B9C240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w:t>
                  </w:r>
                </w:p>
              </w:tc>
              <w:tc>
                <w:tcPr>
                  <w:tcW w:w="509" w:type="pct"/>
                  <w:shd w:val="clear" w:color="auto" w:fill="auto"/>
                  <w:vAlign w:val="center"/>
                </w:tcPr>
                <w:p w14:paraId="401FA66B">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废油性油漆桶、废稀释剂桶、废固化剂桶</w:t>
                  </w:r>
                </w:p>
              </w:tc>
              <w:tc>
                <w:tcPr>
                  <w:tcW w:w="519" w:type="pct"/>
                  <w:shd w:val="clear" w:color="auto" w:fill="auto"/>
                  <w:vAlign w:val="center"/>
                </w:tcPr>
                <w:p w14:paraId="19402A5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572" w:type="pct"/>
                  <w:shd w:val="clear" w:color="auto" w:fill="auto"/>
                  <w:vAlign w:val="center"/>
                </w:tcPr>
                <w:p w14:paraId="4DA532C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66" w:type="pct"/>
                  <w:shd w:val="clear" w:color="auto" w:fill="auto"/>
                  <w:vAlign w:val="center"/>
                </w:tcPr>
                <w:p w14:paraId="559A0111">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475" w:type="pct"/>
                  <w:shd w:val="clear" w:color="auto" w:fill="auto"/>
                  <w:vAlign w:val="center"/>
                </w:tcPr>
                <w:p w14:paraId="1027BDEC">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喷漆工序</w:t>
                  </w:r>
                </w:p>
              </w:tc>
              <w:tc>
                <w:tcPr>
                  <w:tcW w:w="360" w:type="pct"/>
                  <w:shd w:val="clear" w:color="auto" w:fill="auto"/>
                  <w:vAlign w:val="center"/>
                </w:tcPr>
                <w:p w14:paraId="5FADCAEB">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液态/固态</w:t>
                  </w:r>
                </w:p>
              </w:tc>
              <w:tc>
                <w:tcPr>
                  <w:tcW w:w="484" w:type="pct"/>
                  <w:shd w:val="clear" w:color="auto" w:fill="auto"/>
                  <w:vAlign w:val="center"/>
                </w:tcPr>
                <w:p w14:paraId="294E7E7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shd w:val="clear" w:color="auto" w:fill="auto"/>
                  <w:vAlign w:val="center"/>
                </w:tcPr>
                <w:p w14:paraId="4355DCE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c>
                <w:tcPr>
                  <w:tcW w:w="361" w:type="pct"/>
                  <w:shd w:val="clear" w:color="auto" w:fill="auto"/>
                  <w:vAlign w:val="center"/>
                </w:tcPr>
                <w:p w14:paraId="5007EBDF">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T/Tn</w:t>
                  </w:r>
                </w:p>
              </w:tc>
              <w:tc>
                <w:tcPr>
                  <w:tcW w:w="587" w:type="pct"/>
                  <w:vMerge w:val="continue"/>
                  <w:vAlign w:val="center"/>
                </w:tcPr>
                <w:p w14:paraId="5AF0AA1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r w14:paraId="6072B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shd w:val="clear" w:color="auto" w:fill="auto"/>
                  <w:vAlign w:val="center"/>
                </w:tcPr>
                <w:p w14:paraId="283779F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5</w:t>
                  </w:r>
                </w:p>
              </w:tc>
              <w:tc>
                <w:tcPr>
                  <w:tcW w:w="509" w:type="pct"/>
                  <w:shd w:val="clear" w:color="auto" w:fill="auto"/>
                  <w:vAlign w:val="center"/>
                </w:tcPr>
                <w:p w14:paraId="734EBFAF">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废机油、废润滑油</w:t>
                  </w:r>
                </w:p>
              </w:tc>
              <w:tc>
                <w:tcPr>
                  <w:tcW w:w="519" w:type="pct"/>
                  <w:shd w:val="clear" w:color="auto" w:fill="auto"/>
                  <w:vAlign w:val="center"/>
                </w:tcPr>
                <w:p w14:paraId="2F1C9D4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572" w:type="pct"/>
                  <w:shd w:val="clear" w:color="auto" w:fill="auto"/>
                  <w:vAlign w:val="center"/>
                </w:tcPr>
                <w:p w14:paraId="77CB6F3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900-214-08</w:t>
                  </w:r>
                </w:p>
              </w:tc>
              <w:tc>
                <w:tcPr>
                  <w:tcW w:w="466" w:type="pct"/>
                  <w:shd w:val="clear" w:color="auto" w:fill="auto"/>
                  <w:vAlign w:val="center"/>
                </w:tcPr>
                <w:p w14:paraId="5276351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w:t>
                  </w:r>
                </w:p>
              </w:tc>
              <w:tc>
                <w:tcPr>
                  <w:tcW w:w="475" w:type="pct"/>
                  <w:shd w:val="clear" w:color="auto" w:fill="auto"/>
                  <w:vAlign w:val="center"/>
                </w:tcPr>
                <w:p w14:paraId="1BDFC8D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生产设备</w:t>
                  </w:r>
                </w:p>
              </w:tc>
              <w:tc>
                <w:tcPr>
                  <w:tcW w:w="360" w:type="pct"/>
                  <w:shd w:val="clear" w:color="auto" w:fill="auto"/>
                  <w:vAlign w:val="center"/>
                </w:tcPr>
                <w:p w14:paraId="7328A1E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液态</w:t>
                  </w:r>
                </w:p>
              </w:tc>
              <w:tc>
                <w:tcPr>
                  <w:tcW w:w="484" w:type="pct"/>
                  <w:shd w:val="clear" w:color="auto" w:fill="auto"/>
                  <w:vAlign w:val="center"/>
                </w:tcPr>
                <w:p w14:paraId="78D79419">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shd w:val="clear" w:color="auto" w:fill="auto"/>
                  <w:vAlign w:val="center"/>
                </w:tcPr>
                <w:p w14:paraId="01596F0F">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c>
                <w:tcPr>
                  <w:tcW w:w="361" w:type="pct"/>
                  <w:shd w:val="clear" w:color="auto" w:fill="auto"/>
                  <w:vAlign w:val="center"/>
                </w:tcPr>
                <w:p w14:paraId="5F063C2F">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T、I</w:t>
                  </w:r>
                </w:p>
              </w:tc>
              <w:tc>
                <w:tcPr>
                  <w:tcW w:w="587" w:type="pct"/>
                  <w:vMerge w:val="continue"/>
                  <w:vAlign w:val="center"/>
                </w:tcPr>
                <w:p w14:paraId="0D3FB796">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r w14:paraId="0880C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vAlign w:val="center"/>
                </w:tcPr>
                <w:p w14:paraId="2B3BD316">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w:t>
                  </w:r>
                </w:p>
              </w:tc>
              <w:tc>
                <w:tcPr>
                  <w:tcW w:w="509" w:type="pct"/>
                  <w:vAlign w:val="center"/>
                </w:tcPr>
                <w:p w14:paraId="311DAB7D">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lang w:val="zh-CN" w:bidi="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废机油及废润滑油油桶</w:t>
                  </w:r>
                </w:p>
              </w:tc>
              <w:tc>
                <w:tcPr>
                  <w:tcW w:w="519" w:type="pct"/>
                  <w:vAlign w:val="center"/>
                </w:tcPr>
                <w:p w14:paraId="5A48B299">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572" w:type="pct"/>
                  <w:vAlign w:val="center"/>
                </w:tcPr>
                <w:p w14:paraId="31F88FC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66" w:type="pct"/>
                  <w:vAlign w:val="center"/>
                </w:tcPr>
                <w:p w14:paraId="27B0398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475" w:type="pct"/>
                  <w:vAlign w:val="center"/>
                </w:tcPr>
                <w:p w14:paraId="2E9BDC64">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生产设备</w:t>
                  </w:r>
                </w:p>
              </w:tc>
              <w:tc>
                <w:tcPr>
                  <w:tcW w:w="360" w:type="pct"/>
                  <w:vAlign w:val="center"/>
                </w:tcPr>
                <w:p w14:paraId="2C62B4D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固态</w:t>
                  </w:r>
                </w:p>
              </w:tc>
              <w:tc>
                <w:tcPr>
                  <w:tcW w:w="484" w:type="pct"/>
                  <w:vAlign w:val="center"/>
                </w:tcPr>
                <w:p w14:paraId="61C01450">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vAlign w:val="center"/>
                </w:tcPr>
                <w:p w14:paraId="20D81F1A">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c>
                <w:tcPr>
                  <w:tcW w:w="361" w:type="pct"/>
                  <w:vAlign w:val="center"/>
                </w:tcPr>
                <w:p w14:paraId="1E2DDA5A">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T/Tn</w:t>
                  </w:r>
                </w:p>
              </w:tc>
              <w:tc>
                <w:tcPr>
                  <w:tcW w:w="587" w:type="pct"/>
                  <w:vMerge w:val="continue"/>
                  <w:vAlign w:val="center"/>
                </w:tcPr>
                <w:p w14:paraId="601E611F">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r w14:paraId="6525B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vAlign w:val="center"/>
                </w:tcPr>
                <w:p w14:paraId="4F2452F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7</w:t>
                  </w:r>
                </w:p>
              </w:tc>
              <w:tc>
                <w:tcPr>
                  <w:tcW w:w="509" w:type="pct"/>
                  <w:vAlign w:val="center"/>
                </w:tcPr>
                <w:p w14:paraId="3F8F239F">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含油废劳保用品</w:t>
                  </w:r>
                </w:p>
              </w:tc>
              <w:tc>
                <w:tcPr>
                  <w:tcW w:w="519" w:type="pct"/>
                  <w:vAlign w:val="center"/>
                </w:tcPr>
                <w:p w14:paraId="71566173">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572" w:type="pct"/>
                  <w:vAlign w:val="center"/>
                </w:tcPr>
                <w:p w14:paraId="19E57F0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66" w:type="pct"/>
                  <w:vAlign w:val="center"/>
                </w:tcPr>
                <w:p w14:paraId="1447DC62">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475" w:type="pct"/>
                  <w:vAlign w:val="center"/>
                </w:tcPr>
                <w:p w14:paraId="23DE5A18">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设备维修、保养</w:t>
                  </w:r>
                </w:p>
              </w:tc>
              <w:tc>
                <w:tcPr>
                  <w:tcW w:w="360" w:type="pct"/>
                  <w:vAlign w:val="center"/>
                </w:tcPr>
                <w:p w14:paraId="243310EE">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固态</w:t>
                  </w:r>
                </w:p>
              </w:tc>
              <w:tc>
                <w:tcPr>
                  <w:tcW w:w="484" w:type="pct"/>
                  <w:vAlign w:val="center"/>
                </w:tcPr>
                <w:p w14:paraId="561D3581">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化学</w:t>
                  </w:r>
                </w:p>
                <w:p w14:paraId="399A74CC">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添加</w:t>
                  </w:r>
                </w:p>
                <w:p w14:paraId="757F9544">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剂</w:t>
                  </w:r>
                </w:p>
              </w:tc>
              <w:tc>
                <w:tcPr>
                  <w:tcW w:w="378" w:type="pct"/>
                  <w:vAlign w:val="center"/>
                </w:tcPr>
                <w:p w14:paraId="3A8E45C5">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6月/次</w:t>
                  </w:r>
                </w:p>
              </w:tc>
              <w:tc>
                <w:tcPr>
                  <w:tcW w:w="361" w:type="pct"/>
                  <w:vAlign w:val="center"/>
                </w:tcPr>
                <w:p w14:paraId="7F1757FA">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TimesNewRomanPSMT" w:cs="Times New Roman"/>
                      <w:color w:val="000000" w:themeColor="text1"/>
                      <w:highlight w:val="none"/>
                      <w14:textFill>
                        <w14:solidFill>
                          <w14:schemeClr w14:val="tx1"/>
                        </w14:solidFill>
                      </w14:textFill>
                    </w:rPr>
                    <w:t>T/In</w:t>
                  </w:r>
                </w:p>
              </w:tc>
              <w:tc>
                <w:tcPr>
                  <w:tcW w:w="587" w:type="pct"/>
                  <w:vMerge w:val="continue"/>
                  <w:vAlign w:val="center"/>
                </w:tcPr>
                <w:p w14:paraId="3D97019D">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r w14:paraId="29BC7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4" w:type="pct"/>
                  <w:vAlign w:val="center"/>
                </w:tcPr>
                <w:p w14:paraId="73FD8B8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8</w:t>
                  </w:r>
                </w:p>
              </w:tc>
              <w:tc>
                <w:tcPr>
                  <w:tcW w:w="509" w:type="pct"/>
                  <w:vAlign w:val="center"/>
                </w:tcPr>
                <w:p w14:paraId="60DEA94F">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废清洗剂</w:t>
                  </w:r>
                </w:p>
              </w:tc>
              <w:tc>
                <w:tcPr>
                  <w:tcW w:w="519" w:type="pct"/>
                  <w:vAlign w:val="center"/>
                </w:tcPr>
                <w:p w14:paraId="591231DC">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HW12</w:t>
                  </w:r>
                </w:p>
              </w:tc>
              <w:tc>
                <w:tcPr>
                  <w:tcW w:w="572" w:type="pct"/>
                  <w:vAlign w:val="center"/>
                </w:tcPr>
                <w:p w14:paraId="2A0FAFEC">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900-299-12</w:t>
                  </w:r>
                </w:p>
              </w:tc>
              <w:tc>
                <w:tcPr>
                  <w:tcW w:w="466" w:type="pct"/>
                  <w:vAlign w:val="center"/>
                </w:tcPr>
                <w:p w14:paraId="36DCB2E6">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0.024</w:t>
                  </w:r>
                </w:p>
              </w:tc>
              <w:tc>
                <w:tcPr>
                  <w:tcW w:w="475" w:type="pct"/>
                  <w:vAlign w:val="center"/>
                </w:tcPr>
                <w:p w14:paraId="4BC7E3F1">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喷漆工序</w:t>
                  </w:r>
                </w:p>
              </w:tc>
              <w:tc>
                <w:tcPr>
                  <w:tcW w:w="360" w:type="pct"/>
                  <w:vAlign w:val="center"/>
                </w:tcPr>
                <w:p w14:paraId="4E806BD7">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液态</w:t>
                  </w:r>
                </w:p>
              </w:tc>
              <w:tc>
                <w:tcPr>
                  <w:tcW w:w="484" w:type="pct"/>
                  <w:vAlign w:val="center"/>
                </w:tcPr>
                <w:p w14:paraId="2FB60866">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化学添加剂</w:t>
                  </w:r>
                </w:p>
              </w:tc>
              <w:tc>
                <w:tcPr>
                  <w:tcW w:w="378" w:type="pct"/>
                  <w:vAlign w:val="center"/>
                </w:tcPr>
                <w:p w14:paraId="756CFD1B">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1周/次</w:t>
                  </w:r>
                </w:p>
              </w:tc>
              <w:tc>
                <w:tcPr>
                  <w:tcW w:w="361" w:type="pct"/>
                  <w:vAlign w:val="center"/>
                </w:tcPr>
                <w:p w14:paraId="7136DCA8">
                  <w:pPr>
                    <w:keepNext w:val="0"/>
                    <w:keepLines w:val="0"/>
                    <w:pageBreakBefore w:val="0"/>
                    <w:kinsoku/>
                    <w:wordWrap/>
                    <w:overflowPunct/>
                    <w:topLinePunct w:val="0"/>
                    <w:autoSpaceDE/>
                    <w:autoSpaceDN/>
                    <w:bidi w:val="0"/>
                    <w:adjustRightInd w:val="0"/>
                    <w:snapToGrid w:val="0"/>
                    <w:ind w:left="-105" w:leftChars="-50" w:right="-6"/>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T</w:t>
                  </w:r>
                </w:p>
              </w:tc>
              <w:tc>
                <w:tcPr>
                  <w:tcW w:w="587" w:type="pct"/>
                  <w:vMerge w:val="continue"/>
                  <w:vAlign w:val="center"/>
                </w:tcPr>
                <w:p w14:paraId="60BC0FF1">
                  <w:pPr>
                    <w:pStyle w:val="95"/>
                    <w:keepNext w:val="0"/>
                    <w:keepLines w:val="0"/>
                    <w:pageBreakBefore w:val="0"/>
                    <w:kinsoku/>
                    <w:wordWrap/>
                    <w:overflowPunct/>
                    <w:topLinePunct w:val="0"/>
                    <w:autoSpaceDE/>
                    <w:autoSpaceDN/>
                    <w:bidi w:val="0"/>
                    <w:adjustRightInd w:val="0"/>
                    <w:snapToGrid w:val="0"/>
                    <w:spacing w:before="0" w:after="0"/>
                    <w:ind w:left="-105" w:leftChars="-50" w:right="-6"/>
                    <w:textAlignment w:val="auto"/>
                    <w:rPr>
                      <w:rFonts w:hint="default" w:ascii="Times New Roman" w:hAnsi="Times New Roman" w:cs="Times New Roman"/>
                      <w:color w:val="000000" w:themeColor="text1"/>
                      <w:highlight w:val="none"/>
                      <w14:textFill>
                        <w14:solidFill>
                          <w14:schemeClr w14:val="tx1"/>
                        </w14:solidFill>
                      </w14:textFill>
                    </w:rPr>
                  </w:pPr>
                </w:p>
              </w:tc>
            </w:tr>
          </w:tbl>
          <w:p w14:paraId="3DD13E69">
            <w:pPr>
              <w:ind w:firstLine="480"/>
              <w:rPr>
                <w:rFonts w:hint="default" w:ascii="Times New Roman" w:hAnsi="Times New Roman" w:cs="Times New Roman"/>
                <w:color w:val="000000" w:themeColor="text1"/>
                <w:highlight w:val="none"/>
                <w14:textFill>
                  <w14:solidFill>
                    <w14:schemeClr w14:val="tx1"/>
                  </w14:solidFill>
                </w14:textFill>
              </w:rPr>
            </w:pPr>
          </w:p>
          <w:p w14:paraId="1F542A86">
            <w:pPr>
              <w:adjustRightInd w:val="0"/>
              <w:snapToGrid w:val="0"/>
              <w:jc w:val="center"/>
              <w:rPr>
                <w:rFonts w:hint="default" w:ascii="Times New Roman" w:hAnsi="Times New Roman" w:cs="Times New Roman"/>
                <w:b/>
                <w:color w:val="000000" w:themeColor="text1"/>
                <w:spacing w:val="-10"/>
                <w:szCs w:val="21"/>
                <w:highlight w:val="none"/>
                <w14:textFill>
                  <w14:solidFill>
                    <w14:schemeClr w14:val="tx1"/>
                  </w14:solidFill>
                </w14:textFill>
              </w:rPr>
            </w:pPr>
          </w:p>
          <w:p w14:paraId="7AF00B20">
            <w:pPr>
              <w:adjustRightInd w:val="0"/>
              <w:snapToGrid w:val="0"/>
              <w:spacing w:line="360" w:lineRule="auto"/>
              <w:jc w:val="center"/>
              <w:rPr>
                <w:rFonts w:hint="default" w:ascii="Times New Roman" w:hAnsi="Times New Roman" w:cs="Times New Roman"/>
                <w:b/>
                <w:color w:val="000000" w:themeColor="text1"/>
                <w:spacing w:val="-10"/>
                <w:szCs w:val="21"/>
                <w:highlight w:val="none"/>
                <w14:textFill>
                  <w14:solidFill>
                    <w14:schemeClr w14:val="tx1"/>
                  </w14:solidFill>
                </w14:textFill>
              </w:rPr>
            </w:pPr>
            <w:r>
              <w:rPr>
                <w:rFonts w:hint="default" w:ascii="Times New Roman" w:hAnsi="Times New Roman" w:cs="Times New Roman"/>
                <w:b/>
                <w:color w:val="000000" w:themeColor="text1"/>
                <w:spacing w:val="-10"/>
                <w:szCs w:val="21"/>
                <w:highlight w:val="none"/>
                <w14:textFill>
                  <w14:solidFill>
                    <w14:schemeClr w14:val="tx1"/>
                  </w14:solidFill>
                </w14:textFill>
              </w:rPr>
              <w:t>表4-2</w:t>
            </w:r>
            <w:r>
              <w:rPr>
                <w:rFonts w:hint="default" w:ascii="Times New Roman" w:hAnsi="Times New Roman" w:cs="Times New Roman"/>
                <w:b/>
                <w:color w:val="000000" w:themeColor="text1"/>
                <w:spacing w:val="-10"/>
                <w:szCs w:val="21"/>
                <w:highlight w:val="none"/>
                <w14:textFill>
                  <w14:solidFill>
                    <w14:schemeClr w14:val="tx1"/>
                  </w14:solidFill>
                </w14:textFill>
              </w:rPr>
              <w:t>7</w:t>
            </w:r>
            <w:r>
              <w:rPr>
                <w:rFonts w:hint="default" w:ascii="Times New Roman" w:hAnsi="Times New Roman" w:cs="Times New Roman"/>
                <w:b/>
                <w:color w:val="000000" w:themeColor="text1"/>
                <w:spacing w:val="-10"/>
                <w:szCs w:val="21"/>
                <w:highlight w:val="none"/>
                <w14:textFill>
                  <w14:solidFill>
                    <w14:schemeClr w14:val="tx1"/>
                  </w14:solidFill>
                </w14:textFill>
              </w:rPr>
              <w:t xml:space="preserve">  建设项目危险废物贮存场所基本情况表</w:t>
            </w:r>
          </w:p>
          <w:tbl>
            <w:tblPr>
              <w:tblStyle w:val="33"/>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755"/>
              <w:gridCol w:w="1053"/>
              <w:gridCol w:w="845"/>
              <w:gridCol w:w="1280"/>
              <w:gridCol w:w="755"/>
              <w:gridCol w:w="755"/>
              <w:gridCol w:w="754"/>
              <w:gridCol w:w="756"/>
              <w:gridCol w:w="775"/>
            </w:tblGrid>
            <w:tr w14:paraId="3D669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65E7D085">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序号</w:t>
                  </w:r>
                </w:p>
              </w:tc>
              <w:tc>
                <w:tcPr>
                  <w:tcW w:w="446" w:type="pct"/>
                  <w:shd w:val="clear" w:color="auto" w:fill="auto"/>
                  <w:vAlign w:val="center"/>
                </w:tcPr>
                <w:p w14:paraId="09376EF0">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贮存场所名称</w:t>
                  </w:r>
                </w:p>
              </w:tc>
              <w:tc>
                <w:tcPr>
                  <w:tcW w:w="622" w:type="pct"/>
                  <w:shd w:val="clear" w:color="auto" w:fill="auto"/>
                  <w:vAlign w:val="center"/>
                </w:tcPr>
                <w:p w14:paraId="2EA7A0E4">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危险废物名称</w:t>
                  </w:r>
                </w:p>
              </w:tc>
              <w:tc>
                <w:tcPr>
                  <w:tcW w:w="499" w:type="pct"/>
                  <w:shd w:val="clear" w:color="auto" w:fill="auto"/>
                  <w:vAlign w:val="center"/>
                </w:tcPr>
                <w:p w14:paraId="6FD40B0A">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危险废物类别</w:t>
                  </w:r>
                </w:p>
              </w:tc>
              <w:tc>
                <w:tcPr>
                  <w:tcW w:w="755" w:type="pct"/>
                  <w:shd w:val="clear" w:color="auto" w:fill="auto"/>
                  <w:vAlign w:val="center"/>
                </w:tcPr>
                <w:p w14:paraId="34B87206">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危险废物</w:t>
                  </w:r>
                </w:p>
                <w:p w14:paraId="22FB1F8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代码</w:t>
                  </w:r>
                </w:p>
              </w:tc>
              <w:tc>
                <w:tcPr>
                  <w:tcW w:w="446" w:type="pct"/>
                  <w:shd w:val="clear" w:color="auto" w:fill="auto"/>
                  <w:vAlign w:val="center"/>
                </w:tcPr>
                <w:p w14:paraId="16F5659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位置</w:t>
                  </w:r>
                </w:p>
              </w:tc>
              <w:tc>
                <w:tcPr>
                  <w:tcW w:w="446" w:type="pct"/>
                  <w:shd w:val="clear" w:color="auto" w:fill="auto"/>
                  <w:vAlign w:val="center"/>
                </w:tcPr>
                <w:p w14:paraId="5F47531B">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占地面积</w:t>
                  </w:r>
                </w:p>
              </w:tc>
              <w:tc>
                <w:tcPr>
                  <w:tcW w:w="446" w:type="pct"/>
                  <w:shd w:val="clear" w:color="auto" w:fill="auto"/>
                  <w:vAlign w:val="center"/>
                </w:tcPr>
                <w:p w14:paraId="4E4C194F">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贮存方式</w:t>
                  </w:r>
                </w:p>
              </w:tc>
              <w:tc>
                <w:tcPr>
                  <w:tcW w:w="447" w:type="pct"/>
                  <w:shd w:val="clear" w:color="auto" w:fill="auto"/>
                  <w:vAlign w:val="center"/>
                </w:tcPr>
                <w:p w14:paraId="5873D81F">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贮存</w:t>
                  </w:r>
                </w:p>
                <w:p w14:paraId="6F36F0BB">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能力</w:t>
                  </w:r>
                </w:p>
              </w:tc>
              <w:tc>
                <w:tcPr>
                  <w:tcW w:w="458" w:type="pct"/>
                  <w:shd w:val="clear" w:color="auto" w:fill="auto"/>
                  <w:vAlign w:val="center"/>
                </w:tcPr>
                <w:p w14:paraId="29BE1D1D">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贮存</w:t>
                  </w:r>
                </w:p>
                <w:p w14:paraId="7D6F99A7">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周期</w:t>
                  </w:r>
                </w:p>
              </w:tc>
            </w:tr>
            <w:tr w14:paraId="52B66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24BE6874">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1</w:t>
                  </w:r>
                </w:p>
              </w:tc>
              <w:tc>
                <w:tcPr>
                  <w:tcW w:w="446" w:type="pct"/>
                  <w:vMerge w:val="restart"/>
                  <w:shd w:val="clear" w:color="auto" w:fill="auto"/>
                  <w:vAlign w:val="center"/>
                </w:tcPr>
                <w:p w14:paraId="37B9E93B">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危废暂存间</w:t>
                  </w:r>
                </w:p>
              </w:tc>
              <w:tc>
                <w:tcPr>
                  <w:tcW w:w="622" w:type="pct"/>
                  <w:shd w:val="clear" w:color="auto" w:fill="auto"/>
                  <w:vAlign w:val="center"/>
                </w:tcPr>
                <w:p w14:paraId="72355406">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漆雾吸收废水</w:t>
                  </w:r>
                </w:p>
              </w:tc>
              <w:tc>
                <w:tcPr>
                  <w:tcW w:w="499" w:type="pct"/>
                  <w:shd w:val="clear" w:color="auto" w:fill="auto"/>
                  <w:vAlign w:val="center"/>
                </w:tcPr>
                <w:p w14:paraId="02E550FC">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755" w:type="pct"/>
                  <w:shd w:val="clear" w:color="auto" w:fill="auto"/>
                  <w:vAlign w:val="center"/>
                </w:tcPr>
                <w:p w14:paraId="32608F1E">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46" w:type="pct"/>
                  <w:vMerge w:val="restart"/>
                  <w:shd w:val="clear" w:color="auto" w:fill="auto"/>
                  <w:vAlign w:val="center"/>
                </w:tcPr>
                <w:p w14:paraId="3D5F34E3">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危废暂存间</w:t>
                  </w:r>
                </w:p>
              </w:tc>
              <w:tc>
                <w:tcPr>
                  <w:tcW w:w="446" w:type="pct"/>
                  <w:vMerge w:val="restart"/>
                  <w:shd w:val="clear" w:color="auto" w:fill="auto"/>
                  <w:vAlign w:val="center"/>
                </w:tcPr>
                <w:p w14:paraId="087CC1C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20m</w:t>
                  </w:r>
                  <w:r>
                    <w:rPr>
                      <w:rFonts w:hint="default" w:ascii="Times New Roman" w:hAnsi="Times New Roman" w:cs="Times New Roman"/>
                      <w:bCs/>
                      <w:color w:val="000000" w:themeColor="text1"/>
                      <w:spacing w:val="-10"/>
                      <w:szCs w:val="21"/>
                      <w:highlight w:val="none"/>
                      <w:vertAlign w:val="superscript"/>
                      <w14:textFill>
                        <w14:solidFill>
                          <w14:schemeClr w14:val="tx1"/>
                        </w14:solidFill>
                      </w14:textFill>
                    </w:rPr>
                    <w:t>2</w:t>
                  </w:r>
                </w:p>
              </w:tc>
              <w:tc>
                <w:tcPr>
                  <w:tcW w:w="446" w:type="pct"/>
                  <w:shd w:val="clear" w:color="auto" w:fill="auto"/>
                  <w:vAlign w:val="center"/>
                </w:tcPr>
                <w:p w14:paraId="3522DCEA">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罐装</w:t>
                  </w:r>
                </w:p>
              </w:tc>
              <w:tc>
                <w:tcPr>
                  <w:tcW w:w="447" w:type="pct"/>
                  <w:shd w:val="clear" w:color="auto" w:fill="auto"/>
                  <w:vAlign w:val="center"/>
                </w:tcPr>
                <w:p w14:paraId="1581CCE2">
                  <w:pPr>
                    <w:ind w:left="-105" w:leftChars="-50" w:right="-105" w:rightChars="-5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0.1t/a</w:t>
                  </w:r>
                </w:p>
              </w:tc>
              <w:tc>
                <w:tcPr>
                  <w:tcW w:w="764" w:type="dxa"/>
                  <w:shd w:val="clear" w:color="auto" w:fill="auto"/>
                  <w:vAlign w:val="center"/>
                </w:tcPr>
                <w:p w14:paraId="2F9DC5B5">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1年/次</w:t>
                  </w:r>
                </w:p>
              </w:tc>
            </w:tr>
            <w:tr w14:paraId="70130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3BC54ADF">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2</w:t>
                  </w:r>
                </w:p>
              </w:tc>
              <w:tc>
                <w:tcPr>
                  <w:tcW w:w="446" w:type="pct"/>
                  <w:vMerge w:val="continue"/>
                  <w:shd w:val="clear" w:color="auto" w:fill="auto"/>
                  <w:vAlign w:val="center"/>
                </w:tcPr>
                <w:p w14:paraId="1AD620C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23B47558">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漆渣</w:t>
                  </w:r>
                </w:p>
              </w:tc>
              <w:tc>
                <w:tcPr>
                  <w:tcW w:w="499" w:type="pct"/>
                  <w:shd w:val="clear" w:color="auto" w:fill="auto"/>
                  <w:vAlign w:val="center"/>
                </w:tcPr>
                <w:p w14:paraId="5D067EE5">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HW12</w:t>
                  </w:r>
                </w:p>
              </w:tc>
              <w:tc>
                <w:tcPr>
                  <w:tcW w:w="755" w:type="pct"/>
                  <w:shd w:val="clear" w:color="auto" w:fill="auto"/>
                  <w:vAlign w:val="center"/>
                </w:tcPr>
                <w:p w14:paraId="5D3EED6F">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900-252-12</w:t>
                  </w:r>
                </w:p>
              </w:tc>
              <w:tc>
                <w:tcPr>
                  <w:tcW w:w="446" w:type="pct"/>
                  <w:vMerge w:val="continue"/>
                  <w:shd w:val="clear" w:color="auto" w:fill="auto"/>
                  <w:vAlign w:val="center"/>
                </w:tcPr>
                <w:p w14:paraId="522797C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53F6D967">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3FFF2706">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447" w:type="pct"/>
                  <w:shd w:val="clear" w:color="auto" w:fill="auto"/>
                  <w:vAlign w:val="center"/>
                </w:tcPr>
                <w:p w14:paraId="3A88EC85">
                  <w:pPr>
                    <w:ind w:left="-105" w:leftChars="-50" w:right="-105" w:rightChars="-5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31E66DE7">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r>
            <w:tr w14:paraId="25F29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258AFEC1">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3</w:t>
                  </w:r>
                </w:p>
              </w:tc>
              <w:tc>
                <w:tcPr>
                  <w:tcW w:w="446" w:type="pct"/>
                  <w:vMerge w:val="continue"/>
                  <w:shd w:val="clear" w:color="auto" w:fill="auto"/>
                  <w:vAlign w:val="center"/>
                </w:tcPr>
                <w:p w14:paraId="605C042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45186EC3">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废活性炭</w:t>
                  </w:r>
                </w:p>
              </w:tc>
              <w:tc>
                <w:tcPr>
                  <w:tcW w:w="499" w:type="pct"/>
                  <w:shd w:val="clear" w:color="auto" w:fill="auto"/>
                  <w:vAlign w:val="center"/>
                </w:tcPr>
                <w:p w14:paraId="555E0ED2">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755" w:type="pct"/>
                  <w:shd w:val="clear" w:color="auto" w:fill="auto"/>
                  <w:vAlign w:val="center"/>
                </w:tcPr>
                <w:p w14:paraId="146B8248">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900-039-49</w:t>
                  </w:r>
                </w:p>
              </w:tc>
              <w:tc>
                <w:tcPr>
                  <w:tcW w:w="446" w:type="pct"/>
                  <w:vMerge w:val="continue"/>
                  <w:shd w:val="clear" w:color="auto" w:fill="auto"/>
                  <w:vAlign w:val="center"/>
                </w:tcPr>
                <w:p w14:paraId="7B71BE86">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55A707A0">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03DC632A">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447" w:type="pct"/>
                  <w:shd w:val="clear" w:color="auto" w:fill="auto"/>
                  <w:vAlign w:val="center"/>
                </w:tcPr>
                <w:p w14:paraId="38D4F429">
                  <w:pPr>
                    <w:ind w:left="-105" w:leftChars="-50" w:right="-105" w:rightChars="-5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10</w:t>
                  </w:r>
                  <w:r>
                    <w:rPr>
                      <w:rFonts w:hint="default" w:ascii="Times New Roman" w:hAnsi="Times New Roman" w:cs="Times New Roman"/>
                      <w:bCs/>
                      <w:snapToGrid w:val="0"/>
                      <w:color w:val="000000" w:themeColor="text1"/>
                      <w:szCs w:val="21"/>
                      <w:highlight w:val="none"/>
                      <w14:textFill>
                        <w14:solidFill>
                          <w14:schemeClr w14:val="tx1"/>
                        </w14:solidFill>
                      </w14:textFill>
                    </w:rPr>
                    <w:t>t/a</w:t>
                  </w:r>
                </w:p>
              </w:tc>
              <w:tc>
                <w:tcPr>
                  <w:tcW w:w="764" w:type="dxa"/>
                  <w:shd w:val="clear" w:color="auto" w:fill="auto"/>
                  <w:vAlign w:val="center"/>
                </w:tcPr>
                <w:p w14:paraId="5CA7A1AF">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3个月</w:t>
                  </w:r>
                  <w:r>
                    <w:rPr>
                      <w:rFonts w:hint="default" w:ascii="Times New Roman" w:hAnsi="Times New Roman" w:cs="Times New Roman"/>
                      <w:color w:val="000000" w:themeColor="text1"/>
                      <w:highlight w:val="none"/>
                      <w14:textFill>
                        <w14:solidFill>
                          <w14:schemeClr w14:val="tx1"/>
                        </w14:solidFill>
                      </w14:textFill>
                    </w:rPr>
                    <w:t>/次</w:t>
                  </w:r>
                </w:p>
              </w:tc>
            </w:tr>
            <w:tr w14:paraId="511EE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67025403">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4</w:t>
                  </w:r>
                </w:p>
              </w:tc>
              <w:tc>
                <w:tcPr>
                  <w:tcW w:w="446" w:type="pct"/>
                  <w:vMerge w:val="continue"/>
                  <w:shd w:val="clear" w:color="auto" w:fill="auto"/>
                  <w:vAlign w:val="center"/>
                </w:tcPr>
                <w:p w14:paraId="5F5DE66F">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305E070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废油性油漆桶、废稀释剂桶、废固化剂桶</w:t>
                  </w:r>
                </w:p>
              </w:tc>
              <w:tc>
                <w:tcPr>
                  <w:tcW w:w="499" w:type="pct"/>
                  <w:shd w:val="clear" w:color="auto" w:fill="auto"/>
                  <w:vAlign w:val="center"/>
                </w:tcPr>
                <w:p w14:paraId="2240045D">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755" w:type="pct"/>
                  <w:shd w:val="clear" w:color="auto" w:fill="auto"/>
                  <w:vAlign w:val="center"/>
                </w:tcPr>
                <w:p w14:paraId="0CF42A72">
                  <w:pPr>
                    <w:pStyle w:val="95"/>
                    <w:spacing w:after="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46" w:type="pct"/>
                  <w:vMerge w:val="continue"/>
                  <w:shd w:val="clear" w:color="auto" w:fill="auto"/>
                  <w:vAlign w:val="center"/>
                </w:tcPr>
                <w:p w14:paraId="0E0D15E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270E2B7E">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65A73BD1">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746" w:type="dxa"/>
                  <w:shd w:val="clear" w:color="auto" w:fill="auto"/>
                  <w:vAlign w:val="center"/>
                </w:tcPr>
                <w:p w14:paraId="5BAE9FDC">
                  <w:pPr>
                    <w:ind w:left="-105" w:leftChars="-50" w:right="-105" w:rightChars="-5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55379A14">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r>
            <w:tr w14:paraId="1461C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2950AF3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5</w:t>
                  </w:r>
                </w:p>
              </w:tc>
              <w:tc>
                <w:tcPr>
                  <w:tcW w:w="446" w:type="pct"/>
                  <w:vMerge w:val="continue"/>
                  <w:shd w:val="clear" w:color="auto" w:fill="auto"/>
                  <w:vAlign w:val="center"/>
                </w:tcPr>
                <w:p w14:paraId="175EB9CF">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280AF219">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废机油、废润滑油</w:t>
                  </w:r>
                </w:p>
              </w:tc>
              <w:tc>
                <w:tcPr>
                  <w:tcW w:w="499" w:type="pct"/>
                  <w:shd w:val="clear" w:color="auto" w:fill="auto"/>
                  <w:vAlign w:val="center"/>
                </w:tcPr>
                <w:p w14:paraId="46F66FE4">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HW08</w:t>
                  </w:r>
                </w:p>
              </w:tc>
              <w:tc>
                <w:tcPr>
                  <w:tcW w:w="755" w:type="pct"/>
                  <w:shd w:val="clear" w:color="auto" w:fill="auto"/>
                  <w:vAlign w:val="center"/>
                </w:tcPr>
                <w:p w14:paraId="772F4A40">
                  <w:pPr>
                    <w:pStyle w:val="95"/>
                    <w:spacing w:after="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900-214-08</w:t>
                  </w:r>
                </w:p>
              </w:tc>
              <w:tc>
                <w:tcPr>
                  <w:tcW w:w="446" w:type="pct"/>
                  <w:vMerge w:val="continue"/>
                  <w:shd w:val="clear" w:color="auto" w:fill="auto"/>
                  <w:vAlign w:val="center"/>
                </w:tcPr>
                <w:p w14:paraId="6C4083F1">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021296C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1E2F5598">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746" w:type="dxa"/>
                  <w:shd w:val="clear" w:color="auto" w:fill="auto"/>
                  <w:vAlign w:val="center"/>
                </w:tcPr>
                <w:p w14:paraId="18F36105">
                  <w:pPr>
                    <w:ind w:left="-105" w:leftChars="-50" w:right="-105" w:rightChars="-5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4BDDBB28">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r>
            <w:tr w14:paraId="48651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06E250E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6</w:t>
                  </w:r>
                </w:p>
              </w:tc>
              <w:tc>
                <w:tcPr>
                  <w:tcW w:w="446" w:type="pct"/>
                  <w:vMerge w:val="continue"/>
                  <w:shd w:val="clear" w:color="auto" w:fill="auto"/>
                  <w:vAlign w:val="center"/>
                </w:tcPr>
                <w:p w14:paraId="3346B27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3A39656F">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废机油及润滑油油桶</w:t>
                  </w:r>
                </w:p>
              </w:tc>
              <w:tc>
                <w:tcPr>
                  <w:tcW w:w="499" w:type="pct"/>
                  <w:shd w:val="clear" w:color="auto" w:fill="auto"/>
                  <w:vAlign w:val="center"/>
                </w:tcPr>
                <w:p w14:paraId="46F523DF">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755" w:type="pct"/>
                  <w:shd w:val="clear" w:color="auto" w:fill="auto"/>
                  <w:vAlign w:val="center"/>
                </w:tcPr>
                <w:p w14:paraId="456E05F7">
                  <w:pPr>
                    <w:pStyle w:val="95"/>
                    <w:spacing w:after="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46" w:type="pct"/>
                  <w:vMerge w:val="continue"/>
                  <w:shd w:val="clear" w:color="auto" w:fill="auto"/>
                  <w:vAlign w:val="center"/>
                </w:tcPr>
                <w:p w14:paraId="28E7BA69">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5CE71447">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2801C23C">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746" w:type="dxa"/>
                  <w:shd w:val="clear" w:color="auto" w:fill="auto"/>
                  <w:vAlign w:val="center"/>
                </w:tcPr>
                <w:p w14:paraId="6685347D">
                  <w:pPr>
                    <w:ind w:left="-105" w:leftChars="-50" w:right="-105" w:rightChars="-5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1F3B7E32">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1月/次</w:t>
                  </w:r>
                </w:p>
              </w:tc>
            </w:tr>
            <w:tr w14:paraId="222E9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68F24CE8">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7</w:t>
                  </w:r>
                </w:p>
              </w:tc>
              <w:tc>
                <w:tcPr>
                  <w:tcW w:w="446" w:type="pct"/>
                  <w:vMerge w:val="continue"/>
                  <w:shd w:val="clear" w:color="auto" w:fill="auto"/>
                  <w:vAlign w:val="center"/>
                </w:tcPr>
                <w:p w14:paraId="327D473C">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0B22924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含油废劳保用品</w:t>
                  </w:r>
                </w:p>
              </w:tc>
              <w:tc>
                <w:tcPr>
                  <w:tcW w:w="499" w:type="pct"/>
                  <w:shd w:val="clear" w:color="auto" w:fill="auto"/>
                  <w:vAlign w:val="center"/>
                </w:tcPr>
                <w:p w14:paraId="48537514">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HW49</w:t>
                  </w:r>
                </w:p>
              </w:tc>
              <w:tc>
                <w:tcPr>
                  <w:tcW w:w="755" w:type="pct"/>
                  <w:shd w:val="clear" w:color="auto" w:fill="auto"/>
                  <w:vAlign w:val="center"/>
                </w:tcPr>
                <w:p w14:paraId="44BF69B1">
                  <w:pPr>
                    <w:pStyle w:val="95"/>
                    <w:spacing w:after="0"/>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900-041-49</w:t>
                  </w:r>
                </w:p>
              </w:tc>
              <w:tc>
                <w:tcPr>
                  <w:tcW w:w="446" w:type="pct"/>
                  <w:vMerge w:val="continue"/>
                  <w:shd w:val="clear" w:color="auto" w:fill="auto"/>
                  <w:vAlign w:val="center"/>
                </w:tcPr>
                <w:p w14:paraId="7E467494">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6FF34454">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62914060">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袋装</w:t>
                  </w:r>
                </w:p>
              </w:tc>
              <w:tc>
                <w:tcPr>
                  <w:tcW w:w="746" w:type="dxa"/>
                  <w:shd w:val="clear" w:color="auto" w:fill="auto"/>
                  <w:vAlign w:val="center"/>
                </w:tcPr>
                <w:p w14:paraId="795F986F">
                  <w:pPr>
                    <w:ind w:left="-105" w:leftChars="-50" w:right="-105" w:rightChars="-5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6367DA4D">
                  <w:pPr>
                    <w:pStyle w:val="95"/>
                    <w:spacing w:after="0"/>
                    <w:textAlignment w:val="auto"/>
                    <w:rPr>
                      <w:rFonts w:hint="default" w:ascii="Times New Roman" w:hAnsi="Times New Roman" w:cs="Times New Roman"/>
                      <w:bCs/>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6月/次</w:t>
                  </w:r>
                </w:p>
              </w:tc>
            </w:tr>
            <w:tr w14:paraId="1A473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pct"/>
                  <w:shd w:val="clear" w:color="auto" w:fill="auto"/>
                  <w:vAlign w:val="center"/>
                </w:tcPr>
                <w:p w14:paraId="719A8E32">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r>
                    <w:rPr>
                      <w:rFonts w:hint="default" w:ascii="Times New Roman" w:hAnsi="Times New Roman" w:cs="Times New Roman"/>
                      <w:bCs/>
                      <w:color w:val="000000" w:themeColor="text1"/>
                      <w:spacing w:val="-10"/>
                      <w:szCs w:val="21"/>
                      <w:highlight w:val="none"/>
                      <w14:textFill>
                        <w14:solidFill>
                          <w14:schemeClr w14:val="tx1"/>
                        </w14:solidFill>
                      </w14:textFill>
                    </w:rPr>
                    <w:t>8</w:t>
                  </w:r>
                </w:p>
              </w:tc>
              <w:tc>
                <w:tcPr>
                  <w:tcW w:w="446" w:type="pct"/>
                  <w:vMerge w:val="continue"/>
                  <w:shd w:val="clear" w:color="auto" w:fill="auto"/>
                  <w:vAlign w:val="center"/>
                </w:tcPr>
                <w:p w14:paraId="514E07A1">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622" w:type="pct"/>
                  <w:shd w:val="clear" w:color="auto" w:fill="auto"/>
                  <w:vAlign w:val="center"/>
                </w:tcPr>
                <w:p w14:paraId="398781E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废清洗剂</w:t>
                  </w:r>
                </w:p>
              </w:tc>
              <w:tc>
                <w:tcPr>
                  <w:tcW w:w="499" w:type="pct"/>
                  <w:shd w:val="clear" w:color="auto" w:fill="auto"/>
                  <w:vAlign w:val="center"/>
                </w:tcPr>
                <w:p w14:paraId="1E8E7F2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HW12</w:t>
                  </w:r>
                </w:p>
              </w:tc>
              <w:tc>
                <w:tcPr>
                  <w:tcW w:w="755" w:type="pct"/>
                  <w:shd w:val="clear" w:color="auto" w:fill="auto"/>
                  <w:vAlign w:val="center"/>
                </w:tcPr>
                <w:p w14:paraId="5BB038DB">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900-299-12</w:t>
                  </w:r>
                </w:p>
              </w:tc>
              <w:tc>
                <w:tcPr>
                  <w:tcW w:w="446" w:type="pct"/>
                  <w:vMerge w:val="continue"/>
                  <w:shd w:val="clear" w:color="auto" w:fill="auto"/>
                  <w:vAlign w:val="center"/>
                </w:tcPr>
                <w:p w14:paraId="12820CEB">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vMerge w:val="continue"/>
                  <w:shd w:val="clear" w:color="auto" w:fill="auto"/>
                  <w:vAlign w:val="center"/>
                </w:tcPr>
                <w:p w14:paraId="2236414E">
                  <w:pPr>
                    <w:adjustRightInd w:val="0"/>
                    <w:snapToGrid w:val="0"/>
                    <w:jc w:val="center"/>
                    <w:rPr>
                      <w:rFonts w:hint="default" w:ascii="Times New Roman" w:hAnsi="Times New Roman" w:cs="Times New Roman"/>
                      <w:bCs/>
                      <w:color w:val="000000" w:themeColor="text1"/>
                      <w:spacing w:val="-10"/>
                      <w:szCs w:val="21"/>
                      <w:highlight w:val="none"/>
                      <w14:textFill>
                        <w14:solidFill>
                          <w14:schemeClr w14:val="tx1"/>
                        </w14:solidFill>
                      </w14:textFill>
                    </w:rPr>
                  </w:pPr>
                </w:p>
              </w:tc>
              <w:tc>
                <w:tcPr>
                  <w:tcW w:w="446" w:type="pct"/>
                  <w:shd w:val="clear" w:color="auto" w:fill="auto"/>
                  <w:vAlign w:val="center"/>
                </w:tcPr>
                <w:p w14:paraId="16740E14">
                  <w:pPr>
                    <w:adjustRightInd w:val="0"/>
                    <w:jc w:val="center"/>
                    <w:textAlignment w:val="baseline"/>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桶装</w:t>
                  </w:r>
                </w:p>
              </w:tc>
              <w:tc>
                <w:tcPr>
                  <w:tcW w:w="746" w:type="dxa"/>
                  <w:shd w:val="clear" w:color="auto" w:fill="auto"/>
                  <w:vAlign w:val="center"/>
                </w:tcPr>
                <w:p w14:paraId="7D4CC657">
                  <w:pPr>
                    <w:ind w:left="-105" w:leftChars="-50" w:right="-105" w:rightChars="-5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1t/a</w:t>
                  </w:r>
                </w:p>
              </w:tc>
              <w:tc>
                <w:tcPr>
                  <w:tcW w:w="764" w:type="dxa"/>
                  <w:shd w:val="clear" w:color="auto" w:fill="auto"/>
                  <w:vAlign w:val="center"/>
                </w:tcPr>
                <w:p w14:paraId="0561F6D6">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1周/次</w:t>
                  </w:r>
                </w:p>
              </w:tc>
            </w:tr>
          </w:tbl>
          <w:p w14:paraId="38975091">
            <w:pPr>
              <w:ind w:firstLine="480"/>
              <w:rPr>
                <w:rFonts w:hint="default" w:ascii="Times New Roman" w:hAnsi="Times New Roman" w:cs="Times New Roman"/>
                <w:color w:val="000000" w:themeColor="text1"/>
                <w:highlight w:val="none"/>
                <w14:textFill>
                  <w14:solidFill>
                    <w14:schemeClr w14:val="tx1"/>
                  </w14:solidFill>
                </w14:textFill>
              </w:rPr>
            </w:pPr>
          </w:p>
          <w:p w14:paraId="1FFA8BCA">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76" w:name="_Toc16961"/>
            <w:bookmarkStart w:id="77" w:name="_Toc16811"/>
            <w:r>
              <w:rPr>
                <w:rFonts w:hint="default" w:ascii="Times New Roman" w:hAnsi="Times New Roman" w:cs="Times New Roman"/>
                <w:b/>
                <w:bCs/>
                <w:color w:val="000000" w:themeColor="text1"/>
                <w:sz w:val="24"/>
                <w:highlight w:val="none"/>
                <w14:textFill>
                  <w14:solidFill>
                    <w14:schemeClr w14:val="tx1"/>
                  </w14:solidFill>
                </w14:textFill>
              </w:rPr>
              <w:t>2、固体废物影响防治措施</w:t>
            </w:r>
            <w:bookmarkEnd w:id="76"/>
            <w:bookmarkEnd w:id="77"/>
          </w:p>
          <w:p w14:paraId="69D1984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本项目的固体废物遵循“减量化、无害化、资源化”的原则，从源头上减少废物的产生量。立足于固废的综合利用，有能利用的无害化处置。</w:t>
            </w:r>
          </w:p>
          <w:p w14:paraId="28CCAC9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厂区内危险废物暂存严格按照《危险废物贮存污染控制标准》（GB18597-2023）要求进行，危废间地面进行防渗处理，防渗层底层为粘土层和高密度聚乙烯，上层为混凝土材料，可有效防止污染物下渗。仓库地基高于周围路面和其它建筑地基高度，防止暴雨进雨水倒灌产生滤液。采取上述措施后可有效避免危废暂存过程中产生渗漏影响地下水。</w:t>
            </w:r>
          </w:p>
          <w:p w14:paraId="4F062F4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总之，本项目固体废物最终均妥善处置，外排量为零。固体废物对外环境基本无影响。</w:t>
            </w:r>
          </w:p>
          <w:p w14:paraId="3B501AB2">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78" w:name="_Toc24649"/>
            <w:bookmarkStart w:id="79" w:name="_Toc410"/>
            <w:r>
              <w:rPr>
                <w:rFonts w:hint="default" w:ascii="Times New Roman" w:hAnsi="Times New Roman" w:cs="Times New Roman"/>
                <w:b/>
                <w:bCs/>
                <w:color w:val="000000" w:themeColor="text1"/>
                <w:sz w:val="24"/>
                <w:highlight w:val="none"/>
                <w14:textFill>
                  <w14:solidFill>
                    <w14:schemeClr w14:val="tx1"/>
                  </w14:solidFill>
                </w14:textFill>
              </w:rPr>
              <w:t>3、固废环境影响分析</w:t>
            </w:r>
            <w:bookmarkEnd w:id="78"/>
            <w:bookmarkEnd w:id="79"/>
          </w:p>
          <w:p w14:paraId="0B1CF41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为了防治固体废物污染环境，保障工作人员及周围居民的人体健康，本项目产生的固体废物，特别是危险废物的收集、储存、运输、处置各个环节中，按规定需要采取相应防治措施。</w:t>
            </w:r>
          </w:p>
          <w:p w14:paraId="70CCA62A">
            <w:pPr>
              <w:pStyle w:val="7"/>
              <w:numPr>
                <w:ilvl w:val="3"/>
                <w:numId w:val="0"/>
              </w:numPr>
              <w:spacing w:line="360" w:lineRule="auto"/>
              <w:ind w:firstLine="480" w:firstLineChars="200"/>
              <w:rPr>
                <w:rFonts w:hint="default" w:ascii="Times New Roman" w:hAnsi="Times New Roman" w:cs="Times New Roman"/>
                <w:b w:val="0"/>
                <w:color w:val="000000" w:themeColor="text1"/>
                <w:sz w:val="24"/>
                <w:highlight w:val="none"/>
                <w14:textFill>
                  <w14:solidFill>
                    <w14:schemeClr w14:val="tx1"/>
                  </w14:solidFill>
                </w14:textFill>
              </w:rPr>
            </w:pPr>
            <w:r>
              <w:rPr>
                <w:rFonts w:hint="default" w:ascii="Times New Roman" w:hAnsi="Times New Roman" w:cs="Times New Roman"/>
                <w:b w:val="0"/>
                <w:color w:val="000000" w:themeColor="text1"/>
                <w:sz w:val="24"/>
                <w:highlight w:val="none"/>
                <w14:textFill>
                  <w14:solidFill>
                    <w14:schemeClr w14:val="tx1"/>
                  </w14:solidFill>
                </w14:textFill>
              </w:rPr>
              <w:t>（1）一般固体废物的环境影响分析</w:t>
            </w:r>
          </w:p>
          <w:p w14:paraId="760F7F9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一般固废收集时必须设置专门的存储设施和场所，存储场所要做好防渗、溢流措施，并应采取设置顶盖等防治降雨（水）的进入；做到及时清运、妥善处理，清运过程应遵守严格的卫生安全程序，避免沿途遗洒和飘散造成环境污染。</w:t>
            </w:r>
          </w:p>
          <w:p w14:paraId="4B9F624E">
            <w:pPr>
              <w:pStyle w:val="7"/>
              <w:numPr>
                <w:ilvl w:val="3"/>
                <w:numId w:val="0"/>
              </w:numPr>
              <w:spacing w:line="360" w:lineRule="auto"/>
              <w:ind w:firstLine="480" w:firstLineChars="200"/>
              <w:rPr>
                <w:rFonts w:hint="default" w:ascii="Times New Roman" w:hAnsi="Times New Roman" w:cs="Times New Roman"/>
                <w:b w:val="0"/>
                <w:color w:val="000000" w:themeColor="text1"/>
                <w:sz w:val="24"/>
                <w:highlight w:val="none"/>
                <w14:textFill>
                  <w14:solidFill>
                    <w14:schemeClr w14:val="tx1"/>
                  </w14:solidFill>
                </w14:textFill>
              </w:rPr>
            </w:pPr>
            <w:r>
              <w:rPr>
                <w:rFonts w:hint="default" w:ascii="Times New Roman" w:hAnsi="Times New Roman" w:cs="Times New Roman"/>
                <w:b w:val="0"/>
                <w:color w:val="000000" w:themeColor="text1"/>
                <w:sz w:val="24"/>
                <w:highlight w:val="none"/>
                <w14:textFill>
                  <w14:solidFill>
                    <w14:schemeClr w14:val="tx1"/>
                  </w14:solidFill>
                </w14:textFill>
              </w:rPr>
              <w:t>（2）危险废物环境影响分析</w:t>
            </w:r>
          </w:p>
          <w:p w14:paraId="3C8B340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1）危险废物贮存场所环境影响分析</w:t>
            </w:r>
          </w:p>
          <w:p w14:paraId="4359089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u w:val="single"/>
                <w14:textFill>
                  <w14:solidFill>
                    <w14:schemeClr w14:val="tx1"/>
                  </w14:solidFill>
                </w14:textFill>
              </w:rPr>
              <w:t>本项目</w:t>
            </w:r>
            <w:r>
              <w:rPr>
                <w:rFonts w:hint="default" w:ascii="Times New Roman" w:hAnsi="Times New Roman" w:cs="Times New Roman"/>
                <w:color w:val="000000" w:themeColor="text1"/>
                <w:sz w:val="24"/>
                <w:highlight w:val="none"/>
                <w:u w:val="single"/>
                <w14:textFill>
                  <w14:solidFill>
                    <w14:schemeClr w14:val="tx1"/>
                  </w14:solidFill>
                </w14:textFill>
              </w:rPr>
              <w:t>依托现有</w:t>
            </w:r>
            <w:r>
              <w:rPr>
                <w:rFonts w:hint="default" w:ascii="Times New Roman" w:hAnsi="Times New Roman" w:cs="Times New Roman"/>
                <w:color w:val="000000" w:themeColor="text1"/>
                <w:sz w:val="24"/>
                <w:highlight w:val="none"/>
                <w:u w:val="single"/>
                <w14:textFill>
                  <w14:solidFill>
                    <w14:schemeClr w14:val="tx1"/>
                  </w14:solidFill>
                </w14:textFill>
              </w:rPr>
              <w:t>危险固废暂存场所对危险废物进行暂存，</w:t>
            </w:r>
            <w:r>
              <w:rPr>
                <w:rFonts w:hint="default" w:ascii="Times New Roman" w:hAnsi="Times New Roman" w:cs="Times New Roman"/>
                <w:color w:val="000000" w:themeColor="text1"/>
                <w:sz w:val="24"/>
                <w:highlight w:val="none"/>
                <w:u w:val="single"/>
                <w14:textFill>
                  <w14:solidFill>
                    <w14:schemeClr w14:val="tx1"/>
                  </w14:solidFill>
                </w14:textFill>
              </w:rPr>
              <w:t>危废库位于厂区西北角，占地面积30m</w:t>
            </w:r>
            <w:r>
              <w:rPr>
                <w:rFonts w:hint="default" w:ascii="Times New Roman" w:hAnsi="Times New Roman" w:cs="Times New Roman"/>
                <w:color w:val="000000" w:themeColor="text1"/>
                <w:sz w:val="24"/>
                <w:highlight w:val="none"/>
                <w:u w:val="single"/>
                <w:vertAlign w:val="superscript"/>
                <w14:textFill>
                  <w14:solidFill>
                    <w14:schemeClr w14:val="tx1"/>
                  </w14:solidFill>
                </w14:textFill>
              </w:rPr>
              <w:t>2</w:t>
            </w:r>
            <w:r>
              <w:rPr>
                <w:rFonts w:hint="default" w:ascii="Times New Roman" w:hAnsi="Times New Roman" w:cs="Times New Roman"/>
                <w:color w:val="000000" w:themeColor="text1"/>
                <w:sz w:val="24"/>
                <w:highlight w:val="none"/>
                <w:u w:val="single"/>
                <w14:textFill>
                  <w14:solidFill>
                    <w14:schemeClr w14:val="tx1"/>
                  </w14:solidFill>
                </w14:textFill>
              </w:rPr>
              <w:t>，可满足改扩建后暂存要求，现有</w:t>
            </w:r>
            <w:r>
              <w:rPr>
                <w:rFonts w:hint="default" w:ascii="Times New Roman" w:hAnsi="Times New Roman" w:cs="Times New Roman"/>
                <w:color w:val="000000" w:themeColor="text1"/>
                <w:sz w:val="24"/>
                <w:highlight w:val="none"/>
                <w:u w:val="single"/>
                <w14:textFill>
                  <w14:solidFill>
                    <w14:schemeClr w14:val="tx1"/>
                  </w14:solidFill>
                </w14:textFill>
              </w:rPr>
              <w:t>危废库</w:t>
            </w:r>
            <w:r>
              <w:rPr>
                <w:rFonts w:hint="default" w:ascii="Times New Roman" w:hAnsi="Times New Roman" w:cs="Times New Roman"/>
                <w:color w:val="000000" w:themeColor="text1"/>
                <w:sz w:val="24"/>
                <w:highlight w:val="none"/>
                <w:u w:val="single"/>
                <w14:textFill>
                  <w14:solidFill>
                    <w14:schemeClr w14:val="tx1"/>
                  </w14:solidFill>
                </w14:textFill>
              </w:rPr>
              <w:t>已</w:t>
            </w:r>
            <w:r>
              <w:rPr>
                <w:rFonts w:hint="default" w:ascii="Times New Roman" w:hAnsi="Times New Roman" w:cs="Times New Roman"/>
                <w:color w:val="000000" w:themeColor="text1"/>
                <w:sz w:val="24"/>
                <w:highlight w:val="none"/>
                <w:u w:val="single"/>
                <w14:textFill>
                  <w14:solidFill>
                    <w14:schemeClr w14:val="tx1"/>
                  </w14:solidFill>
                </w14:textFill>
              </w:rPr>
              <w:t>采取防雨、防晒、防渗等措施，满足《危险废物贮存污染控制标准》（GB18597-2023）要求；</w:t>
            </w:r>
            <w:r>
              <w:rPr>
                <w:rFonts w:hint="default" w:ascii="Times New Roman" w:hAnsi="Times New Roman" w:cs="Times New Roman"/>
                <w:color w:val="000000" w:themeColor="text1"/>
                <w:sz w:val="24"/>
                <w:highlight w:val="none"/>
                <w14:textFill>
                  <w14:solidFill>
                    <w14:schemeClr w14:val="tx1"/>
                  </w14:solidFill>
                </w14:textFill>
              </w:rPr>
              <w:t>危废库不在江河、湖泊、运河、渠道、水库及其最高水位线以下的滩地和岸坡，以及法律法规规定禁止贮存危险废物的其他地点，危废暂存间选址较为合理，选址及建设要求均符合《危险废物贮存污染控制标准》（GB18597-2023）的要求，危险废物的储存应采取以下措施：</w:t>
            </w:r>
          </w:p>
          <w:p w14:paraId="49ABDE0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①贮存设施应根据危险废物的形态、物理化学性质、包装形式和污染物迁移途径，采取必要的防风、防晒、防雨、防漏、防渗、防腐以及其他环境污染防治措施，不应露天堆放危险废物。</w:t>
            </w:r>
          </w:p>
          <w:p w14:paraId="6171837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②贮存设施应根据危险废物的类别、数量、形态、物理化学性质和污染防治等要求设置必要的贮存分区，避免不相容的危险废物接触、混合。</w:t>
            </w:r>
          </w:p>
          <w:p w14:paraId="5ACD4CA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③贮存设施或贮存分区内地面、墙面裙脚、堵截泄漏的围堰、接触危险废物的隔板和墙体等应采用坚固的材料建造，表面无裂缝。</w:t>
            </w:r>
          </w:p>
          <w:p w14:paraId="1102E6D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厚黏土层（渗透系数不大于10</w:t>
            </w:r>
            <w:r>
              <w:rPr>
                <w:rFonts w:hint="default" w:ascii="Times New Roman" w:hAnsi="Times New Roman" w:cs="Times New Roman"/>
                <w:color w:val="000000" w:themeColor="text1"/>
                <w:sz w:val="24"/>
                <w:highlight w:val="none"/>
                <w:vertAlign w:val="superscript"/>
                <w14:textFill>
                  <w14:solidFill>
                    <w14:schemeClr w14:val="tx1"/>
                  </w14:solidFill>
                </w14:textFill>
              </w:rPr>
              <w:t>-7</w:t>
            </w:r>
            <w:r>
              <w:rPr>
                <w:rFonts w:hint="default" w:ascii="Times New Roman" w:hAnsi="Times New Roman" w:cs="Times New Roman"/>
                <w:color w:val="000000" w:themeColor="text1"/>
                <w:sz w:val="24"/>
                <w:highlight w:val="none"/>
                <w14:textFill>
                  <w14:solidFill>
                    <w14:schemeClr w14:val="tx1"/>
                  </w14:solidFill>
                </w14:textFill>
              </w:rPr>
              <w:t>cm/s），或至少2mm厚高密度聚乙烯膜等人工防渗材料（渗透系数不大于10</w:t>
            </w:r>
            <w:r>
              <w:rPr>
                <w:rFonts w:hint="default" w:ascii="Times New Roman" w:hAnsi="Times New Roman" w:cs="Times New Roman"/>
                <w:color w:val="000000" w:themeColor="text1"/>
                <w:sz w:val="24"/>
                <w:highlight w:val="none"/>
                <w:vertAlign w:val="superscript"/>
                <w14:textFill>
                  <w14:solidFill>
                    <w14:schemeClr w14:val="tx1"/>
                  </w14:solidFill>
                </w14:textFill>
              </w:rPr>
              <w:t>-10</w:t>
            </w:r>
            <w:r>
              <w:rPr>
                <w:rFonts w:hint="default" w:ascii="Times New Roman" w:hAnsi="Times New Roman" w:cs="Times New Roman"/>
                <w:color w:val="000000" w:themeColor="text1"/>
                <w:sz w:val="24"/>
                <w:highlight w:val="none"/>
                <w14:textFill>
                  <w14:solidFill>
                    <w14:schemeClr w14:val="tx1"/>
                  </w14:solidFill>
                </w14:textFill>
              </w:rPr>
              <w:t>cm/s），或其他防渗性能等效的材料。</w:t>
            </w:r>
          </w:p>
          <w:p w14:paraId="375E416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⑤同一贮存设施宜采用相同的防渗、防腐工艺（包括防渗、防腐结构或材料），防渗、防腐材料应覆盖所有可能与废物及其渗滤液、渗漏液等接触的构筑物表面；采用不同防渗、防腐工艺应分别建设贮存分区。</w:t>
            </w:r>
          </w:p>
          <w:p w14:paraId="35FF3BC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⑥贮存设施应采取技术和管理措施防止无关人员进入。</w:t>
            </w:r>
          </w:p>
          <w:p w14:paraId="1BA5C9D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⑦贮存库内不同贮存分区之间应采取隔离措施。隔离措施可根据危险废物特性采用过道、隔板或隔墙等方式。</w:t>
            </w:r>
          </w:p>
          <w:p w14:paraId="423E0B7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⑧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p w14:paraId="61498D9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⑨贮存易产生粉尘、VOCs、酸雾、有毒有害大气污染物和刺激性气味气体的危险废物贮存库，应设置气体收集装置和气体净化设施；气体净化设施的排气筒高度应符合GB16297要求。</w:t>
            </w:r>
          </w:p>
          <w:p w14:paraId="5DC9EC1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各装置产生的危险固体废弃物种类较多，主要包括漆渣、废活性炭、废油性油漆桶、废稀释剂桶、废固化剂桶、废机油、液压油、润滑油及油桶、漆雾吸收废水、含油废劳保用品等，分类收集，均密闭贮存于符合《危险废物贮存污染控制标准》（GB18597-2023）的库区内，对厂址区域的大气环境、水环境及土壤环境的影响很小。</w:t>
            </w:r>
          </w:p>
          <w:p w14:paraId="267403F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2）危险废物运输过程环境影响分析</w:t>
            </w:r>
          </w:p>
          <w:p w14:paraId="4BC8854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本项目产生的危险废物严格执行国家有关危险废物转移的环境管理办法，企业按照国家有关规定办理危险废物申报转移手续，并在贮运过程中严格执行危险化学品贮存、运输和监管的有关规定。</w:t>
            </w:r>
          </w:p>
          <w:p w14:paraId="66AEB6C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危险废物运输路线按地方环境管理部门指定的运输路线运输。综合分析，项目危险废物运输途中的环境影响很小。</w:t>
            </w:r>
          </w:p>
          <w:p w14:paraId="57A61DD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3）委托处理或处置的环境影响分析</w:t>
            </w:r>
          </w:p>
          <w:p w14:paraId="1AD4D55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公司应与危险废物处置单位签订处置协议，产生的所有危险废物均委托有资质单位处理，不擅自处置。按天统计公司各车间的危险废物种类、产生量、暂存时间交由处置时间等，并按月向当地环保部门报告。</w:t>
            </w:r>
          </w:p>
          <w:p w14:paraId="720968E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危险废物的转移应遵从《危险废物转移管理办法》及其他们有关规定的要求，并禁止在转移过程中将危险废物排放至环境中。</w:t>
            </w:r>
          </w:p>
          <w:p w14:paraId="6E0B7C1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经采取以上处理措施后，危险废物的储存对周围环境影响较小。</w:t>
            </w:r>
          </w:p>
          <w:p w14:paraId="49A4E53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4）固体废物暂存及处置进一步要求</w:t>
            </w:r>
          </w:p>
          <w:p w14:paraId="55FA148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①对废物进行“全过程管理”，即对废物的产生、运输、贮存、加工处理、最终处置实行监督管理。</w:t>
            </w:r>
          </w:p>
          <w:p w14:paraId="75F20C3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固体废物最小量化。最小量化是针对废物的最终体积而言，主要从以下几点注意：1）培养每个生产及管理人员，在每个岗位、每个工段、每个环节树立废物最小量化意识。负起最小量化责任，建立废物最小量化制度和操作规范；2）不断改进生产工艺，选择适当原料，使生产过程中不产生废物或少产生废物；3）制订科学的运行操作使废物实现最小量化：4）对有可能利用的废物进行循环和回收利用；5）实行奖惩制度，提高员工废物最小量化的积极性和创新精神。</w:t>
            </w:r>
          </w:p>
          <w:p w14:paraId="61CC0C1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③实行废物交换。本项目的废物可能是另一个行业或者企业的原料，通过现代信息系统对废物进行交换。</w:t>
            </w:r>
          </w:p>
          <w:p w14:paraId="6BF80A3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废物审计。它主要包括以下几点内容：1）废物合理的产生估量；2）废物流向和分配及监测记录；3）废物处理和转化；4）废物有效排放和废物总量衡算。通过废物审计的结果可以及时判断工艺的合理性，发现操作过程中是否有跑、冒、滴、漏，甚至非法排放，有助于改善工艺、改进操作，实现废物最小量化。</w:t>
            </w:r>
          </w:p>
          <w:p w14:paraId="25ADE87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⑤建立废物信息和转移跟踪系统。</w:t>
            </w:r>
          </w:p>
          <w:p w14:paraId="1BBB94C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⑥对废物贮存、运输、加工处理、处置实行许可证制度，废物的贮存、转运、加工处理特别是处置实行经营许可证制度。湖南省省环保厅、衡阳市生态环境局、衡阳市生态环境局衡东县分局等单位应加强管理，产生单位、运输单位、处置单位应相互协作，保证拟建项目产生的危险废物能够按规定妥善处置，防止、杜绝非法转移和非法处置，保证危险废物的安全监控，防止危险废物污染事故发生。</w:t>
            </w:r>
          </w:p>
          <w:p w14:paraId="0646E8E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本项目工程固废处置遵循分类原则、减量化原则、无公害化原则与集中相结合的原则，对工程产生的固废根据种类不同、污染性质不同，对其进行分类收集，定向处置。</w:t>
            </w:r>
          </w:p>
          <w:p w14:paraId="69612374">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项目固体废物处置措施可行，处置方向明确，本次建设固体废物不会对外环境造成大的影响。</w:t>
            </w:r>
          </w:p>
          <w:p w14:paraId="4E9A14EC">
            <w:pPr>
              <w:pStyle w:val="19"/>
              <w:spacing w:line="360" w:lineRule="auto"/>
              <w:ind w:firstLine="482" w:firstLineChars="200"/>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五、三本账核算</w:t>
            </w:r>
          </w:p>
          <w:p w14:paraId="08217E4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根据工程分析及现有项目污染源情况，项目三本帐见下表。</w:t>
            </w:r>
          </w:p>
          <w:p w14:paraId="07F6036C">
            <w:pPr>
              <w:ind w:left="-105" w:leftChars="-50" w:right="-105" w:rightChars="-50"/>
              <w:jc w:val="center"/>
              <w:rPr>
                <w:rFonts w:hint="default" w:ascii="Times New Roman" w:hAnsi="Times New Roman" w:cs="Times New Roman"/>
                <w:b/>
                <w:bCs/>
                <w:color w:val="000000" w:themeColor="text1"/>
                <w:highlight w:val="none"/>
                <w14:textFill>
                  <w14:solidFill>
                    <w14:schemeClr w14:val="tx1"/>
                  </w14:solidFill>
                </w14:textFill>
              </w:rPr>
            </w:pPr>
            <w:r>
              <w:rPr>
                <w:rFonts w:hint="default" w:ascii="Times New Roman" w:hAnsi="Times New Roman" w:cs="Times New Roman"/>
                <w:b/>
                <w:bCs/>
                <w:color w:val="000000" w:themeColor="text1"/>
                <w:highlight w:val="none"/>
                <w14:textFill>
                  <w14:solidFill>
                    <w14:schemeClr w14:val="tx1"/>
                  </w14:solidFill>
                </w14:textFill>
              </w:rPr>
              <w:t>表4-2</w:t>
            </w:r>
            <w:r>
              <w:rPr>
                <w:rFonts w:hint="default" w:ascii="Times New Roman" w:hAnsi="Times New Roman" w:cs="Times New Roman"/>
                <w:b/>
                <w:bCs/>
                <w:color w:val="000000" w:themeColor="text1"/>
                <w:highlight w:val="none"/>
                <w14:textFill>
                  <w14:solidFill>
                    <w14:schemeClr w14:val="tx1"/>
                  </w14:solidFill>
                </w14:textFill>
              </w:rPr>
              <w:t>8</w:t>
            </w:r>
            <w:r>
              <w:rPr>
                <w:rFonts w:hint="default" w:ascii="Times New Roman" w:hAnsi="Times New Roman" w:cs="Times New Roman"/>
                <w:b/>
                <w:bCs/>
                <w:color w:val="000000" w:themeColor="text1"/>
                <w:highlight w:val="none"/>
                <w14:textFill>
                  <w14:solidFill>
                    <w14:schemeClr w14:val="tx1"/>
                  </w14:solidFill>
                </w14:textFill>
              </w:rPr>
              <w:t xml:space="preserve">    项目建成后“三本账”（单位：t/a）</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2682"/>
              <w:gridCol w:w="1101"/>
              <w:gridCol w:w="1260"/>
              <w:gridCol w:w="1260"/>
              <w:gridCol w:w="1416"/>
            </w:tblGrid>
            <w:tr w14:paraId="39971E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Align w:val="center"/>
                </w:tcPr>
                <w:p w14:paraId="03EDFE5C">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项目</w:t>
                  </w:r>
                </w:p>
              </w:tc>
              <w:tc>
                <w:tcPr>
                  <w:tcW w:w="1583" w:type="pct"/>
                  <w:vAlign w:val="center"/>
                </w:tcPr>
                <w:p w14:paraId="5C43C4C5">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w:t>
                  </w:r>
                </w:p>
              </w:tc>
              <w:tc>
                <w:tcPr>
                  <w:tcW w:w="650" w:type="pct"/>
                  <w:vAlign w:val="center"/>
                </w:tcPr>
                <w:p w14:paraId="2EE09FFF">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现有工程排放量</w:t>
                  </w:r>
                </w:p>
              </w:tc>
              <w:tc>
                <w:tcPr>
                  <w:tcW w:w="744" w:type="pct"/>
                </w:tcPr>
                <w:p w14:paraId="7A66B8B9">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改扩建工程排放量</w:t>
                  </w:r>
                </w:p>
              </w:tc>
              <w:tc>
                <w:tcPr>
                  <w:tcW w:w="744" w:type="pct"/>
                </w:tcPr>
                <w:p w14:paraId="51C98F29">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“以新带老”削减量</w:t>
                  </w:r>
                </w:p>
              </w:tc>
              <w:tc>
                <w:tcPr>
                  <w:tcW w:w="835" w:type="pct"/>
                  <w:vAlign w:val="center"/>
                </w:tcPr>
                <w:p w14:paraId="3C85FEC6">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扩建完成后</w:t>
                  </w:r>
                </w:p>
                <w:p w14:paraId="7B8BB476">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总排放量</w:t>
                  </w:r>
                </w:p>
              </w:tc>
            </w:tr>
            <w:tr w14:paraId="136C1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restart"/>
                  <w:vAlign w:val="center"/>
                </w:tcPr>
                <w:p w14:paraId="757857A0">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1583" w:type="pct"/>
                  <w:vAlign w:val="center"/>
                </w:tcPr>
                <w:p w14:paraId="24C68F43">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颗粒物</w:t>
                  </w:r>
                </w:p>
              </w:tc>
              <w:tc>
                <w:tcPr>
                  <w:tcW w:w="650" w:type="pct"/>
                  <w:vAlign w:val="center"/>
                </w:tcPr>
                <w:p w14:paraId="7072B3CF">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0.0473</w:t>
                  </w:r>
                </w:p>
              </w:tc>
              <w:tc>
                <w:tcPr>
                  <w:tcW w:w="1260" w:type="dxa"/>
                  <w:vAlign w:val="top"/>
                </w:tcPr>
                <w:p w14:paraId="7B690E6C">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1.041</w:t>
                  </w:r>
                </w:p>
              </w:tc>
              <w:tc>
                <w:tcPr>
                  <w:tcW w:w="744" w:type="pct"/>
                  <w:vAlign w:val="center"/>
                </w:tcPr>
                <w:p w14:paraId="085B39C0">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0.0712</w:t>
                  </w:r>
                </w:p>
              </w:tc>
              <w:tc>
                <w:tcPr>
                  <w:tcW w:w="1414" w:type="dxa"/>
                </w:tcPr>
                <w:p w14:paraId="2EC33F9C">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1.041</w:t>
                  </w:r>
                </w:p>
              </w:tc>
            </w:tr>
            <w:tr w14:paraId="32260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354AA10C">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p>
              </w:tc>
              <w:tc>
                <w:tcPr>
                  <w:tcW w:w="1583" w:type="pct"/>
                  <w:vAlign w:val="center"/>
                </w:tcPr>
                <w:p w14:paraId="0B1121C7">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VOCs</w:t>
                  </w:r>
                </w:p>
              </w:tc>
              <w:tc>
                <w:tcPr>
                  <w:tcW w:w="1102" w:type="dxa"/>
                  <w:vAlign w:val="center"/>
                </w:tcPr>
                <w:p w14:paraId="2B498FA8">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0.0814</w:t>
                  </w:r>
                </w:p>
              </w:tc>
              <w:tc>
                <w:tcPr>
                  <w:tcW w:w="1260" w:type="dxa"/>
                  <w:vAlign w:val="top"/>
                </w:tcPr>
                <w:p w14:paraId="4018FAFF">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0.824</w:t>
                  </w:r>
                </w:p>
              </w:tc>
              <w:tc>
                <w:tcPr>
                  <w:tcW w:w="744" w:type="pct"/>
                  <w:vAlign w:val="center"/>
                </w:tcPr>
                <w:p w14:paraId="1961CFBF">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0.0814</w:t>
                  </w:r>
                </w:p>
              </w:tc>
              <w:tc>
                <w:tcPr>
                  <w:tcW w:w="1414" w:type="dxa"/>
                  <w:vAlign w:val="top"/>
                </w:tcPr>
                <w:p w14:paraId="586B9453">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0.824</w:t>
                  </w:r>
                </w:p>
              </w:tc>
            </w:tr>
            <w:tr w14:paraId="741B8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780DA54A">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p>
              </w:tc>
              <w:tc>
                <w:tcPr>
                  <w:tcW w:w="1583" w:type="pct"/>
                  <w:vAlign w:val="center"/>
                </w:tcPr>
                <w:p w14:paraId="3E8AF80D">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二甲苯</w:t>
                  </w:r>
                </w:p>
              </w:tc>
              <w:tc>
                <w:tcPr>
                  <w:tcW w:w="1102" w:type="dxa"/>
                  <w:vAlign w:val="center"/>
                </w:tcPr>
                <w:p w14:paraId="745AE169">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0.0182</w:t>
                  </w:r>
                </w:p>
              </w:tc>
              <w:tc>
                <w:tcPr>
                  <w:tcW w:w="1260" w:type="dxa"/>
                  <w:vAlign w:val="top"/>
                </w:tcPr>
                <w:p w14:paraId="5D867F6A">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0.463</w:t>
                  </w:r>
                </w:p>
              </w:tc>
              <w:tc>
                <w:tcPr>
                  <w:tcW w:w="744" w:type="pct"/>
                  <w:vAlign w:val="center"/>
                </w:tcPr>
                <w:p w14:paraId="0BD2F288">
                  <w:pPr>
                    <w:ind w:left="-105" w:leftChars="-50" w:right="-105" w:rightChars="-5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0.0182</w:t>
                  </w:r>
                </w:p>
              </w:tc>
              <w:tc>
                <w:tcPr>
                  <w:tcW w:w="1414" w:type="dxa"/>
                  <w:vAlign w:val="top"/>
                </w:tcPr>
                <w:p w14:paraId="36AF09E6">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0.463</w:t>
                  </w:r>
                </w:p>
              </w:tc>
            </w:tr>
            <w:tr w14:paraId="5F581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restart"/>
                  <w:vAlign w:val="center"/>
                </w:tcPr>
                <w:p w14:paraId="5E74543F">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废水</w:t>
                  </w:r>
                </w:p>
              </w:tc>
              <w:tc>
                <w:tcPr>
                  <w:tcW w:w="1583" w:type="pct"/>
                  <w:vAlign w:val="center"/>
                </w:tcPr>
                <w:p w14:paraId="2FD0D3D2">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COD</w:t>
                  </w:r>
                </w:p>
              </w:tc>
              <w:tc>
                <w:tcPr>
                  <w:tcW w:w="650" w:type="pct"/>
                  <w:vAlign w:val="center"/>
                </w:tcPr>
                <w:p w14:paraId="795AFE72">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3"/>
                      <w:highlight w:val="none"/>
                      <w14:textFill>
                        <w14:solidFill>
                          <w14:schemeClr w14:val="tx1"/>
                        </w14:solidFill>
                      </w14:textFill>
                    </w:rPr>
                    <w:t>0.6474</w:t>
                  </w:r>
                </w:p>
              </w:tc>
              <w:tc>
                <w:tcPr>
                  <w:tcW w:w="744" w:type="pct"/>
                  <w:vAlign w:val="center"/>
                </w:tcPr>
                <w:p w14:paraId="32E04F7B">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744" w:type="pct"/>
                  <w:vAlign w:val="center"/>
                </w:tcPr>
                <w:p w14:paraId="6255E31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835" w:type="pct"/>
                  <w:vAlign w:val="center"/>
                </w:tcPr>
                <w:p w14:paraId="13F5FF84">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3"/>
                      <w:highlight w:val="none"/>
                      <w14:textFill>
                        <w14:solidFill>
                          <w14:schemeClr w14:val="tx1"/>
                        </w14:solidFill>
                      </w14:textFill>
                    </w:rPr>
                    <w:t>0.6474</w:t>
                  </w:r>
                </w:p>
              </w:tc>
            </w:tr>
            <w:tr w14:paraId="5ECD5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29FB31D">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p>
              </w:tc>
              <w:tc>
                <w:tcPr>
                  <w:tcW w:w="1583" w:type="pct"/>
                  <w:vAlign w:val="center"/>
                </w:tcPr>
                <w:p w14:paraId="53A74ECE">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BOD</w:t>
                  </w:r>
                  <w:r>
                    <w:rPr>
                      <w:rFonts w:hint="default" w:ascii="Times New Roman" w:hAnsi="Times New Roman" w:cs="Times New Roman"/>
                      <w:color w:val="000000" w:themeColor="text1"/>
                      <w:highlight w:val="none"/>
                      <w:vertAlign w:val="subscript"/>
                      <w14:textFill>
                        <w14:solidFill>
                          <w14:schemeClr w14:val="tx1"/>
                        </w14:solidFill>
                      </w14:textFill>
                    </w:rPr>
                    <w:t>5</w:t>
                  </w:r>
                </w:p>
              </w:tc>
              <w:tc>
                <w:tcPr>
                  <w:tcW w:w="650" w:type="pct"/>
                  <w:vAlign w:val="center"/>
                </w:tcPr>
                <w:p w14:paraId="5487048F">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744" w:type="pct"/>
                  <w:vAlign w:val="center"/>
                </w:tcPr>
                <w:p w14:paraId="5AC6C5FA">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744" w:type="pct"/>
                  <w:vAlign w:val="center"/>
                </w:tcPr>
                <w:p w14:paraId="16A5F478">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835" w:type="pct"/>
                  <w:vAlign w:val="center"/>
                </w:tcPr>
                <w:p w14:paraId="77A0619A">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r>
            <w:tr w14:paraId="759E5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05D44ECD">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p>
              </w:tc>
              <w:tc>
                <w:tcPr>
                  <w:tcW w:w="1583" w:type="pct"/>
                  <w:vAlign w:val="center"/>
                </w:tcPr>
                <w:p w14:paraId="3CDFB24A">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SS</w:t>
                  </w:r>
                </w:p>
              </w:tc>
              <w:tc>
                <w:tcPr>
                  <w:tcW w:w="650" w:type="pct"/>
                  <w:vAlign w:val="center"/>
                </w:tcPr>
                <w:p w14:paraId="6CC793FA">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744" w:type="pct"/>
                  <w:vAlign w:val="center"/>
                </w:tcPr>
                <w:p w14:paraId="3F84C885">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744" w:type="pct"/>
                  <w:vAlign w:val="center"/>
                </w:tcPr>
                <w:p w14:paraId="640D62F7">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835" w:type="pct"/>
                  <w:vAlign w:val="center"/>
                </w:tcPr>
                <w:p w14:paraId="709A96F6">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r>
            <w:tr w14:paraId="35CD4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69088C5">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p>
              </w:tc>
              <w:tc>
                <w:tcPr>
                  <w:tcW w:w="1583" w:type="pct"/>
                  <w:vAlign w:val="center"/>
                </w:tcPr>
                <w:p w14:paraId="01DBC65C">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NH</w:t>
                  </w:r>
                  <w:r>
                    <w:rPr>
                      <w:rFonts w:hint="default" w:ascii="Times New Roman" w:hAnsi="Times New Roman" w:cs="Times New Roman"/>
                      <w:color w:val="000000" w:themeColor="text1"/>
                      <w:highlight w:val="none"/>
                      <w:vertAlign w:val="sub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-N</w:t>
                  </w:r>
                </w:p>
              </w:tc>
              <w:tc>
                <w:tcPr>
                  <w:tcW w:w="650" w:type="pct"/>
                  <w:vAlign w:val="center"/>
                </w:tcPr>
                <w:p w14:paraId="67557443">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0.0694</w:t>
                  </w:r>
                </w:p>
              </w:tc>
              <w:tc>
                <w:tcPr>
                  <w:tcW w:w="744" w:type="pct"/>
                  <w:vAlign w:val="center"/>
                </w:tcPr>
                <w:p w14:paraId="545A1B10">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744" w:type="pct"/>
                  <w:vAlign w:val="center"/>
                </w:tcPr>
                <w:p w14:paraId="1FCD14C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0</w:t>
                  </w:r>
                </w:p>
              </w:tc>
              <w:tc>
                <w:tcPr>
                  <w:tcW w:w="835" w:type="pct"/>
                  <w:vAlign w:val="center"/>
                </w:tcPr>
                <w:p w14:paraId="19A3A3BD">
                  <w:pPr>
                    <w:pStyle w:val="95"/>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0.0694</w:t>
                  </w:r>
                </w:p>
              </w:tc>
            </w:tr>
            <w:tr w14:paraId="34B58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restart"/>
                  <w:vAlign w:val="center"/>
                </w:tcPr>
                <w:p w14:paraId="1EB7AD7E">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固体</w:t>
                  </w:r>
                </w:p>
                <w:p w14:paraId="0787724D">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废物</w:t>
                  </w:r>
                </w:p>
              </w:tc>
              <w:tc>
                <w:tcPr>
                  <w:tcW w:w="1583" w:type="pct"/>
                  <w:shd w:val="clear" w:color="auto" w:fill="auto"/>
                  <w:vAlign w:val="center"/>
                </w:tcPr>
                <w:p w14:paraId="723897EF">
                  <w:pPr>
                    <w:jc w:val="center"/>
                    <w:rPr>
                      <w:rFonts w:hint="default" w:ascii="Times New Roman" w:hAnsi="Times New Roman" w:eastAsia="Arial Unicode MS"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沉降的金属碎屑及尘</w:t>
                  </w:r>
                  <w:r>
                    <w:rPr>
                      <w:rFonts w:hint="default" w:ascii="Times New Roman" w:hAnsi="Times New Roman" w:cs="Times New Roman"/>
                      <w:color w:val="000000" w:themeColor="text1"/>
                      <w:szCs w:val="21"/>
                      <w:highlight w:val="none"/>
                      <w14:textFill>
                        <w14:solidFill>
                          <w14:schemeClr w14:val="tx1"/>
                        </w14:solidFill>
                      </w14:textFill>
                    </w:rPr>
                    <w:t>灰</w:t>
                  </w:r>
                </w:p>
              </w:tc>
              <w:tc>
                <w:tcPr>
                  <w:tcW w:w="650" w:type="pct"/>
                  <w:shd w:val="clear" w:color="auto" w:fill="auto"/>
                  <w:vAlign w:val="center"/>
                </w:tcPr>
                <w:p w14:paraId="0029B339">
                  <w:pPr>
                    <w:pStyle w:val="103"/>
                    <w:jc w:val="center"/>
                    <w:rPr>
                      <w:rFonts w:hint="default" w:ascii="Times New Roman" w:hAnsi="Times New Roman"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0.9</w:t>
                  </w:r>
                </w:p>
              </w:tc>
              <w:tc>
                <w:tcPr>
                  <w:tcW w:w="744" w:type="pct"/>
                  <w:shd w:val="clear" w:color="auto" w:fill="auto"/>
                  <w:vAlign w:val="center"/>
                </w:tcPr>
                <w:p w14:paraId="5ACD4DE0">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0.15</w:t>
                  </w:r>
                </w:p>
              </w:tc>
              <w:tc>
                <w:tcPr>
                  <w:tcW w:w="744" w:type="pct"/>
                  <w:shd w:val="clear" w:color="auto" w:fill="auto"/>
                </w:tcPr>
                <w:p w14:paraId="11315EC0">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835" w:type="pct"/>
                  <w:shd w:val="clear" w:color="auto" w:fill="auto"/>
                  <w:vAlign w:val="center"/>
                </w:tcPr>
                <w:p w14:paraId="2E0C9B7B">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1.05</w:t>
                  </w:r>
                </w:p>
              </w:tc>
            </w:tr>
            <w:tr w14:paraId="2958F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33D0B4E1">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68B7FD98">
                  <w:pPr>
                    <w:jc w:val="center"/>
                    <w:rPr>
                      <w:rFonts w:hint="default" w:ascii="Times New Roman" w:hAnsi="Times New Roman" w:eastAsia="Arial Unicode MS"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布袋收尘</w:t>
                  </w:r>
                </w:p>
              </w:tc>
              <w:tc>
                <w:tcPr>
                  <w:tcW w:w="650" w:type="pct"/>
                  <w:vAlign w:val="center"/>
                </w:tcPr>
                <w:p w14:paraId="75889299">
                  <w:pPr>
                    <w:pStyle w:val="103"/>
                    <w:jc w:val="center"/>
                    <w:rPr>
                      <w:rFonts w:hint="default" w:ascii="Times New Roman" w:hAnsi="Times New Roman"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0.594</w:t>
                  </w:r>
                </w:p>
              </w:tc>
              <w:tc>
                <w:tcPr>
                  <w:tcW w:w="744" w:type="pct"/>
                  <w:vAlign w:val="center"/>
                </w:tcPr>
                <w:p w14:paraId="136CE462">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4.225</w:t>
                  </w:r>
                </w:p>
              </w:tc>
              <w:tc>
                <w:tcPr>
                  <w:tcW w:w="744" w:type="pct"/>
                </w:tcPr>
                <w:p w14:paraId="53822D3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835" w:type="pct"/>
                  <w:vAlign w:val="center"/>
                </w:tcPr>
                <w:p w14:paraId="440C5D02">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4.819</w:t>
                  </w:r>
                </w:p>
              </w:tc>
            </w:tr>
            <w:tr w14:paraId="57341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4E2943A">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135D4552">
                  <w:pPr>
                    <w:jc w:val="center"/>
                    <w:rPr>
                      <w:rFonts w:hint="default" w:ascii="Times New Roman" w:hAnsi="Times New Roman" w:eastAsia="Arial Unicode MS"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废焊条、焊渣</w:t>
                  </w:r>
                </w:p>
              </w:tc>
              <w:tc>
                <w:tcPr>
                  <w:tcW w:w="650" w:type="pct"/>
                  <w:vAlign w:val="center"/>
                </w:tcPr>
                <w:p w14:paraId="7C3922DE">
                  <w:pPr>
                    <w:pStyle w:val="103"/>
                    <w:jc w:val="center"/>
                    <w:rPr>
                      <w:rFonts w:hint="default" w:ascii="Times New Roman" w:hAnsi="Times New Roman"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4</w:t>
                  </w:r>
                </w:p>
              </w:tc>
              <w:tc>
                <w:tcPr>
                  <w:tcW w:w="744" w:type="pct"/>
                  <w:vAlign w:val="center"/>
                </w:tcPr>
                <w:p w14:paraId="36FB94D0">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1.78</w:t>
                  </w:r>
                </w:p>
              </w:tc>
              <w:tc>
                <w:tcPr>
                  <w:tcW w:w="744" w:type="pct"/>
                </w:tcPr>
                <w:p w14:paraId="6C88B44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w:t>
                  </w:r>
                </w:p>
              </w:tc>
              <w:tc>
                <w:tcPr>
                  <w:tcW w:w="835" w:type="pct"/>
                  <w:vAlign w:val="center"/>
                </w:tcPr>
                <w:p w14:paraId="5378AA8F">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5.78</w:t>
                  </w:r>
                </w:p>
              </w:tc>
            </w:tr>
            <w:tr w14:paraId="21496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04064970">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003BEEBC">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废钢砂</w:t>
                  </w:r>
                </w:p>
              </w:tc>
              <w:tc>
                <w:tcPr>
                  <w:tcW w:w="650" w:type="pct"/>
                  <w:vAlign w:val="center"/>
                </w:tcPr>
                <w:p w14:paraId="164259BF">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1</w:t>
                  </w:r>
                </w:p>
              </w:tc>
              <w:tc>
                <w:tcPr>
                  <w:tcW w:w="744" w:type="pct"/>
                  <w:vAlign w:val="center"/>
                </w:tcPr>
                <w:p w14:paraId="0A79B7C1">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w:t>
                  </w:r>
                </w:p>
              </w:tc>
              <w:tc>
                <w:tcPr>
                  <w:tcW w:w="744" w:type="pct"/>
                </w:tcPr>
                <w:p w14:paraId="7A8B0DE7">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43A1626A">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1</w:t>
                  </w:r>
                </w:p>
              </w:tc>
            </w:tr>
            <w:tr w14:paraId="7953A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17EF4A12">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51F9662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废液压油</w:t>
                  </w:r>
                </w:p>
              </w:tc>
              <w:tc>
                <w:tcPr>
                  <w:tcW w:w="650" w:type="pct"/>
                  <w:vAlign w:val="center"/>
                </w:tcPr>
                <w:p w14:paraId="67D01F22">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0.15</w:t>
                  </w:r>
                </w:p>
              </w:tc>
              <w:tc>
                <w:tcPr>
                  <w:tcW w:w="744" w:type="pct"/>
                  <w:vAlign w:val="center"/>
                </w:tcPr>
                <w:p w14:paraId="36475410">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w:t>
                  </w:r>
                </w:p>
              </w:tc>
              <w:tc>
                <w:tcPr>
                  <w:tcW w:w="744" w:type="pct"/>
                </w:tcPr>
                <w:p w14:paraId="6970B530">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23E3E84D">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0.15</w:t>
                  </w:r>
                </w:p>
              </w:tc>
            </w:tr>
            <w:tr w14:paraId="32772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18580EBB">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0539DCE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废乳化液</w:t>
                  </w:r>
                </w:p>
              </w:tc>
              <w:tc>
                <w:tcPr>
                  <w:tcW w:w="650" w:type="pct"/>
                  <w:vAlign w:val="center"/>
                </w:tcPr>
                <w:p w14:paraId="17DC298A">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0.03</w:t>
                  </w:r>
                </w:p>
              </w:tc>
              <w:tc>
                <w:tcPr>
                  <w:tcW w:w="744" w:type="pct"/>
                  <w:vAlign w:val="center"/>
                </w:tcPr>
                <w:p w14:paraId="74325FA2">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w:t>
                  </w:r>
                </w:p>
              </w:tc>
              <w:tc>
                <w:tcPr>
                  <w:tcW w:w="744" w:type="pct"/>
                </w:tcPr>
                <w:p w14:paraId="4B8BB526">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49B150D7">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0.03</w:t>
                  </w:r>
                </w:p>
              </w:tc>
            </w:tr>
            <w:tr w14:paraId="45792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1F21B54E">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6B352E2D">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废包装桶</w:t>
                  </w:r>
                </w:p>
              </w:tc>
              <w:tc>
                <w:tcPr>
                  <w:tcW w:w="650" w:type="pct"/>
                  <w:vAlign w:val="center"/>
                </w:tcPr>
                <w:p w14:paraId="72396111">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0.145</w:t>
                  </w:r>
                </w:p>
              </w:tc>
              <w:tc>
                <w:tcPr>
                  <w:tcW w:w="744" w:type="pct"/>
                  <w:vAlign w:val="center"/>
                </w:tcPr>
                <w:p w14:paraId="1E4DB899">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0.3</w:t>
                  </w:r>
                </w:p>
              </w:tc>
              <w:tc>
                <w:tcPr>
                  <w:tcW w:w="744" w:type="pct"/>
                </w:tcPr>
                <w:p w14:paraId="26AF7CF5">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35597F66">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0.445</w:t>
                  </w:r>
                </w:p>
              </w:tc>
            </w:tr>
            <w:tr w14:paraId="6037E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50B9B70">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3956EC22">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废过滤棉</w:t>
                  </w:r>
                </w:p>
              </w:tc>
              <w:tc>
                <w:tcPr>
                  <w:tcW w:w="650" w:type="pct"/>
                  <w:vAlign w:val="center"/>
                </w:tcPr>
                <w:p w14:paraId="56ADA306">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0.48</w:t>
                  </w:r>
                </w:p>
              </w:tc>
              <w:tc>
                <w:tcPr>
                  <w:tcW w:w="744" w:type="pct"/>
                  <w:vAlign w:val="center"/>
                </w:tcPr>
                <w:p w14:paraId="5E5412BE">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w:t>
                  </w:r>
                </w:p>
              </w:tc>
              <w:tc>
                <w:tcPr>
                  <w:tcW w:w="744" w:type="pct"/>
                </w:tcPr>
                <w:p w14:paraId="5A5FDCA3">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2AA03C59">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0.48</w:t>
                  </w:r>
                </w:p>
              </w:tc>
            </w:tr>
            <w:tr w14:paraId="26BBF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ADB434F">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28B20405">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pacing w:val="4"/>
                      <w:szCs w:val="21"/>
                      <w:highlight w:val="none"/>
                      <w:u w:val="single"/>
                      <w14:textFill>
                        <w14:solidFill>
                          <w14:schemeClr w14:val="tx1"/>
                        </w14:solidFill>
                      </w14:textFill>
                    </w:rPr>
                    <w:t>漆渣</w:t>
                  </w:r>
                </w:p>
              </w:tc>
              <w:tc>
                <w:tcPr>
                  <w:tcW w:w="650" w:type="pct"/>
                  <w:vAlign w:val="center"/>
                </w:tcPr>
                <w:p w14:paraId="5050F0E2">
                  <w:pPr>
                    <w:pStyle w:val="103"/>
                    <w:jc w:val="center"/>
                    <w:rPr>
                      <w:rFonts w:hint="default" w:ascii="Times New Roman" w:hAnsi="Times New Roman"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u w:val="single"/>
                      <w:lang w:eastAsia="zh-CN"/>
                      <w14:textFill>
                        <w14:solidFill>
                          <w14:schemeClr w14:val="tx1"/>
                        </w14:solidFill>
                      </w14:textFill>
                    </w:rPr>
                    <w:t>0.6305</w:t>
                  </w:r>
                </w:p>
              </w:tc>
              <w:tc>
                <w:tcPr>
                  <w:tcW w:w="744" w:type="pct"/>
                  <w:vAlign w:val="center"/>
                </w:tcPr>
                <w:p w14:paraId="4C35E95D">
                  <w:pPr>
                    <w:ind w:left="-105" w:leftChars="-50" w:right="-105" w:rightChars="-5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w:t>
                  </w:r>
                  <w:r>
                    <w:rPr>
                      <w:rFonts w:hint="default" w:ascii="Times New Roman" w:hAnsi="Times New Roman" w:cs="Times New Roman"/>
                      <w:color w:val="000000" w:themeColor="text1"/>
                      <w:highlight w:val="none"/>
                      <w:u w:val="single"/>
                      <w14:textFill>
                        <w14:solidFill>
                          <w14:schemeClr w14:val="tx1"/>
                        </w14:solidFill>
                      </w14:textFill>
                    </w:rPr>
                    <w:t>885</w:t>
                  </w:r>
                </w:p>
              </w:tc>
              <w:tc>
                <w:tcPr>
                  <w:tcW w:w="744" w:type="pct"/>
                  <w:vAlign w:val="center"/>
                </w:tcPr>
                <w:p w14:paraId="4B4677C4">
                  <w:pPr>
                    <w:pStyle w:val="103"/>
                    <w:jc w:val="center"/>
                    <w:rPr>
                      <w:rFonts w:hint="default" w:ascii="Times New Roman" w:hAnsi="Times New Roman"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u w:val="single"/>
                      <w:lang w:eastAsia="zh-CN"/>
                      <w14:textFill>
                        <w14:solidFill>
                          <w14:schemeClr w14:val="tx1"/>
                        </w14:solidFill>
                      </w14:textFill>
                    </w:rPr>
                    <w:t>0.6305</w:t>
                  </w:r>
                </w:p>
              </w:tc>
              <w:tc>
                <w:tcPr>
                  <w:tcW w:w="835" w:type="pct"/>
                  <w:vAlign w:val="center"/>
                </w:tcPr>
                <w:p w14:paraId="696D7204">
                  <w:pPr>
                    <w:ind w:left="-105" w:leftChars="-50" w:right="-105" w:rightChars="-5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w:t>
                  </w:r>
                  <w:r>
                    <w:rPr>
                      <w:rFonts w:hint="default" w:ascii="Times New Roman" w:hAnsi="Times New Roman" w:cs="Times New Roman"/>
                      <w:color w:val="000000" w:themeColor="text1"/>
                      <w:highlight w:val="none"/>
                      <w:u w:val="single"/>
                      <w14:textFill>
                        <w14:solidFill>
                          <w14:schemeClr w14:val="tx1"/>
                        </w14:solidFill>
                      </w14:textFill>
                    </w:rPr>
                    <w:t>885</w:t>
                  </w:r>
                </w:p>
              </w:tc>
            </w:tr>
            <w:tr w14:paraId="30D0C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15389D77">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37FDA257">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pacing w:val="7"/>
                      <w:szCs w:val="21"/>
                      <w:highlight w:val="none"/>
                      <w:u w:val="single"/>
                      <w14:textFill>
                        <w14:solidFill>
                          <w14:schemeClr w14:val="tx1"/>
                        </w14:solidFill>
                      </w14:textFill>
                    </w:rPr>
                    <w:t>废活性炭</w:t>
                  </w:r>
                </w:p>
              </w:tc>
              <w:tc>
                <w:tcPr>
                  <w:tcW w:w="650" w:type="pct"/>
                  <w:vAlign w:val="center"/>
                </w:tcPr>
                <w:p w14:paraId="1849C1B8">
                  <w:pPr>
                    <w:pStyle w:val="103"/>
                    <w:jc w:val="center"/>
                    <w:rPr>
                      <w:rFonts w:hint="default" w:ascii="Times New Roman" w:hAnsi="Times New Roman"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u w:val="single"/>
                      <w:lang w:eastAsia="zh-CN"/>
                      <w14:textFill>
                        <w14:solidFill>
                          <w14:schemeClr w14:val="tx1"/>
                        </w14:solidFill>
                      </w14:textFill>
                    </w:rPr>
                    <w:t>4.3765</w:t>
                  </w:r>
                </w:p>
              </w:tc>
              <w:tc>
                <w:tcPr>
                  <w:tcW w:w="744" w:type="pct"/>
                  <w:vAlign w:val="center"/>
                </w:tcPr>
                <w:p w14:paraId="609968B6">
                  <w:pPr>
                    <w:ind w:left="-105" w:leftChars="-50" w:right="-105" w:rightChars="-5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c>
                <w:tcPr>
                  <w:tcW w:w="744" w:type="pct"/>
                  <w:vAlign w:val="center"/>
                </w:tcPr>
                <w:p w14:paraId="78530925">
                  <w:pPr>
                    <w:pStyle w:val="103"/>
                    <w:jc w:val="center"/>
                    <w:rPr>
                      <w:rFonts w:hint="default" w:ascii="Times New Roman" w:hAnsi="Times New Roman" w:cs="Times New Roman"/>
                      <w:color w:val="000000" w:themeColor="text1"/>
                      <w:highlight w:val="none"/>
                      <w:u w:val="singl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u w:val="single"/>
                      <w:lang w:eastAsia="zh-CN"/>
                      <w14:textFill>
                        <w14:solidFill>
                          <w14:schemeClr w14:val="tx1"/>
                        </w14:solidFill>
                      </w14:textFill>
                    </w:rPr>
                    <w:t>4.3765</w:t>
                  </w:r>
                </w:p>
              </w:tc>
              <w:tc>
                <w:tcPr>
                  <w:tcW w:w="835" w:type="pct"/>
                  <w:vAlign w:val="center"/>
                </w:tcPr>
                <w:p w14:paraId="2492DA63">
                  <w:pPr>
                    <w:ind w:left="-105" w:leftChars="-50" w:right="-105" w:rightChars="-5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r>
            <w:tr w14:paraId="7D049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5503D515">
                  <w:pPr>
                    <w:widowControl/>
                    <w:jc w:val="left"/>
                    <w:rPr>
                      <w:rFonts w:hint="default" w:ascii="Times New Roman" w:hAnsi="Times New Roman" w:cs="Times New Roman"/>
                      <w:color w:val="000000" w:themeColor="text1"/>
                      <w:szCs w:val="21"/>
                      <w:highlight w:val="none"/>
                      <w14:textFill>
                        <w14:solidFill>
                          <w14:schemeClr w14:val="tx1"/>
                        </w14:solidFill>
                      </w14:textFill>
                    </w:rPr>
                  </w:pPr>
                </w:p>
              </w:tc>
              <w:tc>
                <w:tcPr>
                  <w:tcW w:w="1583" w:type="pct"/>
                  <w:vAlign w:val="center"/>
                </w:tcPr>
                <w:p w14:paraId="0F125B14">
                  <w:pPr>
                    <w:pStyle w:val="103"/>
                    <w:jc w:val="center"/>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lang w:eastAsia="zh-CN"/>
                      <w14:textFill>
                        <w14:solidFill>
                          <w14:schemeClr w14:val="tx1"/>
                        </w14:solidFill>
                      </w14:textFill>
                    </w:rPr>
                    <w:t>废</w:t>
                  </w:r>
                  <w:r>
                    <w:rPr>
                      <w:rFonts w:hint="default" w:ascii="Times New Roman" w:hAnsi="Times New Roman" w:eastAsia="宋体" w:cs="Times New Roman"/>
                      <w:color w:val="000000" w:themeColor="text1"/>
                      <w:spacing w:val="-46"/>
                      <w:sz w:val="21"/>
                      <w:szCs w:val="21"/>
                      <w:highlight w:val="none"/>
                      <w:lang w:eastAsia="zh-CN"/>
                      <w14:textFill>
                        <w14:solidFill>
                          <w14:schemeClr w14:val="tx1"/>
                        </w14:solidFill>
                      </w14:textFill>
                    </w:rPr>
                    <w:t xml:space="preserve"> </w:t>
                  </w:r>
                  <w:r>
                    <w:rPr>
                      <w:rFonts w:hint="default" w:ascii="Times New Roman" w:hAnsi="Times New Roman" w:cs="Times New Roman"/>
                      <w:color w:val="000000" w:themeColor="text1"/>
                      <w:sz w:val="21"/>
                      <w:szCs w:val="21"/>
                      <w:highlight w:val="none"/>
                      <w:lang w:eastAsia="zh-CN"/>
                      <w14:textFill>
                        <w14:solidFill>
                          <w14:schemeClr w14:val="tx1"/>
                        </w14:solidFill>
                      </w14:textFill>
                    </w:rPr>
                    <w:t>UV</w:t>
                  </w:r>
                  <w:r>
                    <w:rPr>
                      <w:rFonts w:hint="default" w:ascii="Times New Roman" w:hAnsi="Times New Roman" w:cs="Times New Roman"/>
                      <w:color w:val="000000" w:themeColor="text1"/>
                      <w:spacing w:val="12"/>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7"/>
                      <w:sz w:val="21"/>
                      <w:szCs w:val="21"/>
                      <w:highlight w:val="none"/>
                      <w:lang w:eastAsia="zh-CN"/>
                      <w14:textFill>
                        <w14:solidFill>
                          <w14:schemeClr w14:val="tx1"/>
                        </w14:solidFill>
                      </w14:textFill>
                    </w:rPr>
                    <w:t>灯管</w:t>
                  </w:r>
                </w:p>
              </w:tc>
              <w:tc>
                <w:tcPr>
                  <w:tcW w:w="650" w:type="pct"/>
                  <w:vAlign w:val="center"/>
                </w:tcPr>
                <w:p w14:paraId="4E3CB694">
                  <w:pPr>
                    <w:pStyle w:val="103"/>
                    <w:jc w:val="center"/>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5</w:t>
                  </w:r>
                  <w:r>
                    <w:rPr>
                      <w:rFonts w:hint="default" w:ascii="Times New Roman" w:hAnsi="Times New Roman" w:cs="Times New Roman"/>
                      <w:color w:val="000000" w:themeColor="text1"/>
                      <w:spacing w:val="10"/>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highlight w:val="none"/>
                      <w:lang w:eastAsia="zh-CN"/>
                      <w14:textFill>
                        <w14:solidFill>
                          <w14:schemeClr w14:val="tx1"/>
                        </w14:solidFill>
                      </w14:textFill>
                    </w:rPr>
                    <w:t>支</w:t>
                  </w:r>
                </w:p>
              </w:tc>
              <w:tc>
                <w:tcPr>
                  <w:tcW w:w="744" w:type="pct"/>
                  <w:vAlign w:val="center"/>
                </w:tcPr>
                <w:p w14:paraId="0A351AF8">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w:t>
                  </w:r>
                </w:p>
              </w:tc>
              <w:tc>
                <w:tcPr>
                  <w:tcW w:w="744" w:type="pct"/>
                </w:tcPr>
                <w:p w14:paraId="32584F59">
                  <w:pPr>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0</w:t>
                  </w:r>
                </w:p>
              </w:tc>
              <w:tc>
                <w:tcPr>
                  <w:tcW w:w="835" w:type="pct"/>
                  <w:vAlign w:val="center"/>
                </w:tcPr>
                <w:p w14:paraId="00E8C61A">
                  <w:pPr>
                    <w:ind w:left="-105" w:leftChars="-50" w:right="-105" w:rightChars="-50"/>
                    <w:jc w:val="center"/>
                    <w:rPr>
                      <w:rFonts w:hint="default" w:ascii="Times New Roman" w:hAnsi="Times New Roman" w:eastAsia="Times New Roman" w:cs="Times New Roman"/>
                      <w:color w:val="000000" w:themeColor="text1"/>
                      <w:spacing w:val="2"/>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14:textFill>
                        <w14:solidFill>
                          <w14:schemeClr w14:val="tx1"/>
                        </w14:solidFill>
                      </w14:textFill>
                    </w:rPr>
                    <w:t>5支</w:t>
                  </w:r>
                </w:p>
              </w:tc>
            </w:tr>
            <w:tr w14:paraId="3798F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pct"/>
                  <w:vMerge w:val="continue"/>
                  <w:vAlign w:val="center"/>
                </w:tcPr>
                <w:p w14:paraId="3381E8D8">
                  <w:pPr>
                    <w:widowControl/>
                    <w:jc w:val="left"/>
                    <w:rPr>
                      <w:rFonts w:hint="default" w:ascii="Times New Roman" w:hAnsi="Times New Roman" w:cs="Times New Roman"/>
                      <w:color w:val="000000" w:themeColor="text1"/>
                      <w:szCs w:val="21"/>
                      <w:highlight w:val="none"/>
                      <w14:textFill>
                        <w14:solidFill>
                          <w14:schemeClr w14:val="tx1"/>
                        </w14:solidFill>
                      </w14:textFill>
                    </w:rPr>
                  </w:pPr>
                  <w:bookmarkStart w:id="80" w:name="_Toc19742"/>
                </w:p>
              </w:tc>
              <w:tc>
                <w:tcPr>
                  <w:tcW w:w="1583" w:type="pct"/>
                  <w:vAlign w:val="center"/>
                </w:tcPr>
                <w:p w14:paraId="19CE8867">
                  <w:pPr>
                    <w:pStyle w:val="103"/>
                    <w:jc w:val="center"/>
                    <w:rPr>
                      <w:rFonts w:hint="default" w:ascii="Times New Roman" w:hAnsi="Times New Roman" w:eastAsia="宋体" w:cs="Times New Roman"/>
                      <w:color w:val="000000" w:themeColor="text1"/>
                      <w:spacing w:val="7"/>
                      <w:sz w:val="21"/>
                      <w:szCs w:val="21"/>
                      <w:highlight w:val="none"/>
                      <w:u w:val="single"/>
                      <w:lang w:eastAsia="zh-CN"/>
                      <w14:textFill>
                        <w14:solidFill>
                          <w14:schemeClr w14:val="tx1"/>
                        </w14:solidFill>
                      </w14:textFill>
                    </w:rPr>
                  </w:pPr>
                  <w:r>
                    <w:rPr>
                      <w:rFonts w:hint="default" w:ascii="Times New Roman" w:hAnsi="Times New Roman" w:eastAsia="宋体" w:cs="Times New Roman"/>
                      <w:color w:val="000000" w:themeColor="text1"/>
                      <w:spacing w:val="7"/>
                      <w:sz w:val="21"/>
                      <w:szCs w:val="21"/>
                      <w:highlight w:val="none"/>
                      <w:u w:val="single"/>
                      <w:lang w:eastAsia="zh-CN"/>
                      <w14:textFill>
                        <w14:solidFill>
                          <w14:schemeClr w14:val="tx1"/>
                        </w14:solidFill>
                      </w14:textFill>
                    </w:rPr>
                    <w:t>沉淀池沉渣</w:t>
                  </w:r>
                </w:p>
              </w:tc>
              <w:tc>
                <w:tcPr>
                  <w:tcW w:w="650" w:type="pct"/>
                  <w:vAlign w:val="center"/>
                </w:tcPr>
                <w:p w14:paraId="23539A68">
                  <w:pPr>
                    <w:pStyle w:val="103"/>
                    <w:jc w:val="center"/>
                    <w:rPr>
                      <w:rFonts w:hint="default" w:ascii="Times New Roman" w:hAnsi="Times New Roman" w:eastAsia="宋体" w:cs="Times New Roman"/>
                      <w:color w:val="000000" w:themeColor="text1"/>
                      <w:spacing w:val="-3"/>
                      <w:sz w:val="21"/>
                      <w:szCs w:val="21"/>
                      <w:highlight w:val="none"/>
                      <w:u w:val="single"/>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u w:val="single"/>
                      <w:lang w:eastAsia="zh-CN"/>
                      <w14:textFill>
                        <w14:solidFill>
                          <w14:schemeClr w14:val="tx1"/>
                        </w14:solidFill>
                      </w14:textFill>
                    </w:rPr>
                    <w:t>/</w:t>
                  </w:r>
                </w:p>
              </w:tc>
              <w:tc>
                <w:tcPr>
                  <w:tcW w:w="744" w:type="pct"/>
                  <w:vAlign w:val="center"/>
                </w:tcPr>
                <w:p w14:paraId="59574A17">
                  <w:pPr>
                    <w:ind w:left="-105" w:leftChars="-50" w:right="-105" w:rightChars="-50"/>
                    <w:jc w:val="center"/>
                    <w:rPr>
                      <w:rFonts w:hint="default" w:ascii="Times New Roman" w:hAnsi="Times New Roman" w:eastAsia="Times New Roman" w:cs="Times New Roman"/>
                      <w:color w:val="000000" w:themeColor="text1"/>
                      <w:spacing w:val="2"/>
                      <w:szCs w:val="21"/>
                      <w:highlight w:val="none"/>
                      <w:u w:val="singl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u w:val="single"/>
                      <w14:textFill>
                        <w14:solidFill>
                          <w14:schemeClr w14:val="tx1"/>
                        </w14:solidFill>
                      </w14:textFill>
                    </w:rPr>
                    <w:t>1</w:t>
                  </w:r>
                </w:p>
              </w:tc>
              <w:tc>
                <w:tcPr>
                  <w:tcW w:w="744" w:type="pct"/>
                </w:tcPr>
                <w:p w14:paraId="04C24B0C">
                  <w:pPr>
                    <w:jc w:val="center"/>
                    <w:rPr>
                      <w:rFonts w:hint="default" w:ascii="Times New Roman" w:hAnsi="Times New Roman" w:cs="Times New Roman"/>
                      <w:color w:val="000000" w:themeColor="text1"/>
                      <w:spacing w:val="2"/>
                      <w:szCs w:val="21"/>
                      <w:highlight w:val="none"/>
                      <w:u w:val="single"/>
                      <w14:textFill>
                        <w14:solidFill>
                          <w14:schemeClr w14:val="tx1"/>
                        </w14:solidFill>
                      </w14:textFill>
                    </w:rPr>
                  </w:pPr>
                  <w:r>
                    <w:rPr>
                      <w:rFonts w:hint="default" w:ascii="Times New Roman" w:hAnsi="Times New Roman" w:cs="Times New Roman"/>
                      <w:color w:val="000000" w:themeColor="text1"/>
                      <w:spacing w:val="2"/>
                      <w:szCs w:val="21"/>
                      <w:highlight w:val="none"/>
                      <w:u w:val="single"/>
                      <w14:textFill>
                        <w14:solidFill>
                          <w14:schemeClr w14:val="tx1"/>
                        </w14:solidFill>
                      </w14:textFill>
                    </w:rPr>
                    <w:t>/</w:t>
                  </w:r>
                </w:p>
              </w:tc>
              <w:tc>
                <w:tcPr>
                  <w:tcW w:w="835" w:type="pct"/>
                  <w:vAlign w:val="center"/>
                </w:tcPr>
                <w:p w14:paraId="2CC5B40C">
                  <w:pPr>
                    <w:ind w:left="-105" w:leftChars="-50" w:right="-105" w:rightChars="-50"/>
                    <w:jc w:val="center"/>
                    <w:rPr>
                      <w:rFonts w:hint="default" w:ascii="Times New Roman" w:hAnsi="Times New Roman" w:eastAsia="Times New Roman" w:cs="Times New Roman"/>
                      <w:color w:val="000000" w:themeColor="text1"/>
                      <w:spacing w:val="2"/>
                      <w:szCs w:val="21"/>
                      <w:highlight w:val="none"/>
                      <w:u w:val="single"/>
                      <w14:textFill>
                        <w14:solidFill>
                          <w14:schemeClr w14:val="tx1"/>
                        </w14:solidFill>
                      </w14:textFill>
                    </w:rPr>
                  </w:pPr>
                  <w:r>
                    <w:rPr>
                      <w:rFonts w:hint="default" w:ascii="Times New Roman" w:hAnsi="Times New Roman" w:eastAsia="Times New Roman" w:cs="Times New Roman"/>
                      <w:color w:val="000000" w:themeColor="text1"/>
                      <w:spacing w:val="2"/>
                      <w:szCs w:val="21"/>
                      <w:highlight w:val="none"/>
                      <w:u w:val="single"/>
                      <w14:textFill>
                        <w14:solidFill>
                          <w14:schemeClr w14:val="tx1"/>
                        </w14:solidFill>
                      </w14:textFill>
                    </w:rPr>
                    <w:t>1</w:t>
                  </w:r>
                </w:p>
              </w:tc>
            </w:tr>
          </w:tbl>
          <w:p w14:paraId="0309D0A5">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五、环境风险分析</w:t>
            </w:r>
            <w:bookmarkEnd w:id="80"/>
          </w:p>
          <w:p w14:paraId="2A960895">
            <w:pPr>
              <w:spacing w:line="360" w:lineRule="auto"/>
              <w:ind w:firstLine="482" w:firstLineChars="200"/>
              <w:rPr>
                <w:rFonts w:hint="default" w:ascii="Times New Roman" w:hAnsi="Times New Roman" w:cs="Times New Roman"/>
                <w:b/>
                <w:bCs/>
                <w:color w:val="000000" w:themeColor="text1"/>
                <w:sz w:val="24"/>
                <w:highlight w:val="none"/>
                <w14:textFill>
                  <w14:solidFill>
                    <w14:schemeClr w14:val="tx1"/>
                  </w14:solidFill>
                </w14:textFill>
              </w:rPr>
            </w:pPr>
            <w:bookmarkStart w:id="81" w:name="_Toc2690"/>
            <w:r>
              <w:rPr>
                <w:rFonts w:hint="default" w:ascii="Times New Roman" w:hAnsi="Times New Roman" w:cs="Times New Roman"/>
                <w:b/>
                <w:bCs/>
                <w:color w:val="000000" w:themeColor="text1"/>
                <w:sz w:val="24"/>
                <w:highlight w:val="none"/>
                <w14:textFill>
                  <w14:solidFill>
                    <w14:schemeClr w14:val="tx1"/>
                  </w14:solidFill>
                </w14:textFill>
              </w:rPr>
              <w:t>1、风险物质识别</w:t>
            </w:r>
            <w:bookmarkEnd w:id="81"/>
          </w:p>
          <w:p w14:paraId="58D41046">
            <w:pPr>
              <w:spacing w:line="360" w:lineRule="auto"/>
              <w:ind w:firstLine="482"/>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项目环境风险评价技术导则》（HJ169-2018）附录B，对本项目原辅材料、燃料、污染物、火灾和爆炸性伴生/次生物等进行危险性识别，筛选风险评价因子；附录以外的危险物质，参照GB30000.18、GB30000.28按照已知组分的危险物质进行估算。根据项目各物料理化性质与《建设项目环境风险评价技术导则》(HJ169-2018)附录B中重点关注的危险物质进行对比，具体情况见表4-2</w:t>
            </w:r>
            <w:r>
              <w:rPr>
                <w:rFonts w:hint="default" w:ascii="Times New Roman" w:hAnsi="Times New Roman" w:cs="Times New Roman"/>
                <w:color w:val="000000" w:themeColor="text1"/>
                <w:sz w:val="24"/>
                <w:highlight w:val="none"/>
                <w14:textFill>
                  <w14:solidFill>
                    <w14:schemeClr w14:val="tx1"/>
                  </w14:solidFill>
                </w14:textFill>
              </w:rPr>
              <w:t>9</w:t>
            </w:r>
            <w:r>
              <w:rPr>
                <w:rFonts w:hint="default" w:ascii="Times New Roman" w:hAnsi="Times New Roman" w:cs="Times New Roman"/>
                <w:color w:val="000000" w:themeColor="text1"/>
                <w:sz w:val="24"/>
                <w:highlight w:val="none"/>
                <w14:textFill>
                  <w14:solidFill>
                    <w14:schemeClr w14:val="tx1"/>
                  </w14:solidFill>
                </w14:textFill>
              </w:rPr>
              <w:t>。</w:t>
            </w:r>
          </w:p>
          <w:p w14:paraId="5A813D99">
            <w:pPr>
              <w:pStyle w:val="97"/>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表4-2</w:t>
            </w:r>
            <w:r>
              <w:rPr>
                <w:rFonts w:hint="default" w:ascii="Times New Roman" w:hAnsi="Times New Roman" w:cs="Times New Roman"/>
                <w:color w:val="000000" w:themeColor="text1"/>
                <w:highlight w:val="none"/>
                <w:u w:val="single"/>
                <w14:textFill>
                  <w14:solidFill>
                    <w14:schemeClr w14:val="tx1"/>
                  </w14:solidFill>
                </w14:textFill>
              </w:rPr>
              <w:t>9</w:t>
            </w:r>
            <w:r>
              <w:rPr>
                <w:rFonts w:hint="default" w:ascii="Times New Roman" w:hAnsi="Times New Roman" w:cs="Times New Roman"/>
                <w:color w:val="000000" w:themeColor="text1"/>
                <w:highlight w:val="none"/>
                <w:u w:val="single"/>
                <w14:textFill>
                  <w14:solidFill>
                    <w14:schemeClr w14:val="tx1"/>
                  </w14:solidFill>
                </w14:textFill>
              </w:rPr>
              <w:t xml:space="preserve">  项目风险物质数量及分布一览表  单位：t</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97"/>
              <w:gridCol w:w="1682"/>
              <w:gridCol w:w="1157"/>
              <w:gridCol w:w="993"/>
              <w:gridCol w:w="988"/>
              <w:gridCol w:w="1276"/>
              <w:gridCol w:w="790"/>
              <w:gridCol w:w="1080"/>
            </w:tblGrid>
            <w:tr w14:paraId="78953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2B24ED33">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序号</w:t>
                  </w:r>
                </w:p>
              </w:tc>
              <w:tc>
                <w:tcPr>
                  <w:tcW w:w="993" w:type="pct"/>
                  <w:vAlign w:val="center"/>
                </w:tcPr>
                <w:p w14:paraId="42AC9678">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名称</w:t>
                  </w:r>
                </w:p>
              </w:tc>
              <w:tc>
                <w:tcPr>
                  <w:tcW w:w="683" w:type="pct"/>
                  <w:vAlign w:val="center"/>
                </w:tcPr>
                <w:p w14:paraId="7215445F">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原辅料最大存储量（t）</w:t>
                  </w:r>
                </w:p>
              </w:tc>
              <w:tc>
                <w:tcPr>
                  <w:tcW w:w="585" w:type="pct"/>
                  <w:vAlign w:val="center"/>
                </w:tcPr>
                <w:p w14:paraId="34ECD4FE">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在线量</w:t>
                  </w:r>
                </w:p>
                <w:p w14:paraId="7CB3DE13">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（t）</w:t>
                  </w:r>
                </w:p>
              </w:tc>
              <w:tc>
                <w:tcPr>
                  <w:tcW w:w="584" w:type="pct"/>
                  <w:vAlign w:val="center"/>
                </w:tcPr>
                <w:p w14:paraId="1B5B7BE3">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临界量</w:t>
                  </w:r>
                </w:p>
                <w:p w14:paraId="1FAC660B">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（t）</w:t>
                  </w:r>
                </w:p>
              </w:tc>
              <w:tc>
                <w:tcPr>
                  <w:tcW w:w="754" w:type="pct"/>
                  <w:vAlign w:val="center"/>
                </w:tcPr>
                <w:p w14:paraId="33D37EC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Qn/t</w:t>
                  </w:r>
                </w:p>
              </w:tc>
              <w:tc>
                <w:tcPr>
                  <w:tcW w:w="467" w:type="pct"/>
                  <w:vAlign w:val="center"/>
                </w:tcPr>
                <w:p w14:paraId="53B35668">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储存方式</w:t>
                  </w:r>
                </w:p>
              </w:tc>
              <w:tc>
                <w:tcPr>
                  <w:tcW w:w="638" w:type="pct"/>
                  <w:vAlign w:val="center"/>
                </w:tcPr>
                <w:p w14:paraId="2206C3E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储存位置量</w:t>
                  </w:r>
                </w:p>
              </w:tc>
            </w:tr>
            <w:tr w14:paraId="17808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0F931B3E">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w:t>
                  </w:r>
                </w:p>
              </w:tc>
              <w:tc>
                <w:tcPr>
                  <w:tcW w:w="993" w:type="pct"/>
                  <w:shd w:val="clear" w:color="000000" w:fill="FFFFFF"/>
                  <w:vAlign w:val="center"/>
                </w:tcPr>
                <w:p w14:paraId="1988E414">
                  <w:pPr>
                    <w:adjustRightInd w:val="0"/>
                    <w:snapToGrid w:val="0"/>
                    <w:jc w:val="center"/>
                    <w:rPr>
                      <w:rFonts w:hint="default" w:ascii="Times New Roman" w:hAnsi="Times New Roman" w:cs="Times New Roman"/>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底漆</w:t>
                  </w:r>
                </w:p>
              </w:tc>
              <w:tc>
                <w:tcPr>
                  <w:tcW w:w="683" w:type="pct"/>
                  <w:shd w:val="clear" w:color="auto" w:fill="auto"/>
                  <w:vAlign w:val="center"/>
                </w:tcPr>
                <w:p w14:paraId="33A2A2D7">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0.5</w:t>
                  </w:r>
                </w:p>
              </w:tc>
              <w:tc>
                <w:tcPr>
                  <w:tcW w:w="585" w:type="pct"/>
                  <w:shd w:val="clear" w:color="auto" w:fill="auto"/>
                  <w:vAlign w:val="center"/>
                </w:tcPr>
                <w:p w14:paraId="014DE834">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584" w:type="pct"/>
                  <w:shd w:val="clear" w:color="auto" w:fill="auto"/>
                  <w:vAlign w:val="center"/>
                </w:tcPr>
                <w:p w14:paraId="24D1BB0E">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100</w:t>
                  </w:r>
                </w:p>
              </w:tc>
              <w:tc>
                <w:tcPr>
                  <w:tcW w:w="754" w:type="pct"/>
                  <w:shd w:val="clear" w:color="auto" w:fill="auto"/>
                  <w:vAlign w:val="center"/>
                </w:tcPr>
                <w:p w14:paraId="1D01C95A">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0.005</w:t>
                  </w:r>
                </w:p>
              </w:tc>
              <w:tc>
                <w:tcPr>
                  <w:tcW w:w="467" w:type="pct"/>
                  <w:vAlign w:val="center"/>
                </w:tcPr>
                <w:p w14:paraId="689648B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restart"/>
                  <w:vAlign w:val="center"/>
                </w:tcPr>
                <w:p w14:paraId="686F78F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油漆库</w:t>
                  </w:r>
                </w:p>
              </w:tc>
            </w:tr>
            <w:tr w14:paraId="71CC4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3913B23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w:t>
                  </w:r>
                </w:p>
              </w:tc>
              <w:tc>
                <w:tcPr>
                  <w:tcW w:w="993" w:type="pct"/>
                  <w:shd w:val="clear" w:color="000000" w:fill="FFFFFF"/>
                  <w:vAlign w:val="center"/>
                </w:tcPr>
                <w:p w14:paraId="43A8C830">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面漆</w:t>
                  </w:r>
                </w:p>
              </w:tc>
              <w:tc>
                <w:tcPr>
                  <w:tcW w:w="683" w:type="pct"/>
                  <w:shd w:val="clear" w:color="auto" w:fill="auto"/>
                  <w:vAlign w:val="center"/>
                </w:tcPr>
                <w:p w14:paraId="3D14BBF8">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w:t>
                  </w:r>
                </w:p>
              </w:tc>
              <w:tc>
                <w:tcPr>
                  <w:tcW w:w="585" w:type="pct"/>
                  <w:shd w:val="clear" w:color="auto" w:fill="auto"/>
                  <w:vAlign w:val="center"/>
                </w:tcPr>
                <w:p w14:paraId="5F7BED76">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584" w:type="pct"/>
                  <w:shd w:val="clear" w:color="auto" w:fill="auto"/>
                  <w:vAlign w:val="center"/>
                </w:tcPr>
                <w:p w14:paraId="3051B5F0">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100</w:t>
                  </w:r>
                </w:p>
              </w:tc>
              <w:tc>
                <w:tcPr>
                  <w:tcW w:w="754" w:type="pct"/>
                  <w:shd w:val="clear" w:color="auto" w:fill="auto"/>
                  <w:vAlign w:val="center"/>
                </w:tcPr>
                <w:p w14:paraId="49BD8B82">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0.01</w:t>
                  </w:r>
                </w:p>
              </w:tc>
              <w:tc>
                <w:tcPr>
                  <w:tcW w:w="467" w:type="pct"/>
                  <w:vAlign w:val="center"/>
                </w:tcPr>
                <w:p w14:paraId="079DD378">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continue"/>
                  <w:vAlign w:val="center"/>
                </w:tcPr>
                <w:p w14:paraId="4CC662E2">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r w14:paraId="45AC2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4590264F">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3</w:t>
                  </w:r>
                </w:p>
              </w:tc>
              <w:tc>
                <w:tcPr>
                  <w:tcW w:w="993" w:type="pct"/>
                  <w:shd w:val="clear" w:color="000000" w:fill="FFFFFF"/>
                  <w:vAlign w:val="center"/>
                </w:tcPr>
                <w:p w14:paraId="461A8CA0">
                  <w:pPr>
                    <w:adjustRightInd w:val="0"/>
                    <w:snapToGrid w:val="0"/>
                    <w:jc w:val="center"/>
                    <w:rPr>
                      <w:rFonts w:hint="default" w:ascii="Times New Roman" w:hAnsi="Times New Roman" w:cs="Times New Roman"/>
                      <w:color w:val="000000" w:themeColor="text1"/>
                      <w:szCs w:val="21"/>
                      <w:highlight w:val="none"/>
                      <w:u w:val="single"/>
                      <w:lang w:bidi="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固化剂</w:t>
                  </w:r>
                </w:p>
              </w:tc>
              <w:tc>
                <w:tcPr>
                  <w:tcW w:w="683" w:type="pct"/>
                  <w:shd w:val="clear" w:color="auto" w:fill="auto"/>
                  <w:vAlign w:val="center"/>
                </w:tcPr>
                <w:p w14:paraId="0391AD7F">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0.5</w:t>
                  </w:r>
                </w:p>
              </w:tc>
              <w:tc>
                <w:tcPr>
                  <w:tcW w:w="585" w:type="pct"/>
                  <w:shd w:val="clear" w:color="auto" w:fill="auto"/>
                  <w:vAlign w:val="center"/>
                </w:tcPr>
                <w:p w14:paraId="06B98CAD">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584" w:type="pct"/>
                  <w:shd w:val="clear" w:color="auto" w:fill="auto"/>
                  <w:vAlign w:val="center"/>
                </w:tcPr>
                <w:p w14:paraId="17566A6B">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100</w:t>
                  </w:r>
                </w:p>
              </w:tc>
              <w:tc>
                <w:tcPr>
                  <w:tcW w:w="754" w:type="pct"/>
                  <w:shd w:val="clear" w:color="auto" w:fill="auto"/>
                  <w:vAlign w:val="center"/>
                </w:tcPr>
                <w:p w14:paraId="693D4CBB">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0.005</w:t>
                  </w:r>
                </w:p>
              </w:tc>
              <w:tc>
                <w:tcPr>
                  <w:tcW w:w="467" w:type="pct"/>
                  <w:vAlign w:val="center"/>
                </w:tcPr>
                <w:p w14:paraId="6FB5952C">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continue"/>
                  <w:vAlign w:val="center"/>
                </w:tcPr>
                <w:p w14:paraId="2428A0C3">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r w14:paraId="19935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77AE6B13">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4</w:t>
                  </w:r>
                </w:p>
              </w:tc>
              <w:tc>
                <w:tcPr>
                  <w:tcW w:w="993" w:type="pct"/>
                  <w:shd w:val="clear" w:color="000000" w:fill="FFFFFF"/>
                  <w:vAlign w:val="center"/>
                </w:tcPr>
                <w:p w14:paraId="794EA153">
                  <w:pPr>
                    <w:adjustRightInd w:val="0"/>
                    <w:snapToGrid w:val="0"/>
                    <w:jc w:val="center"/>
                    <w:rPr>
                      <w:rFonts w:hint="default" w:ascii="Times New Roman" w:hAnsi="Times New Roman" w:cs="Times New Roman"/>
                      <w:color w:val="000000" w:themeColor="text1"/>
                      <w:szCs w:val="21"/>
                      <w:highlight w:val="none"/>
                      <w:u w:val="single"/>
                      <w:lang w:val="zh-CN" w:bidi="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稀释剂</w:t>
                  </w:r>
                </w:p>
              </w:tc>
              <w:tc>
                <w:tcPr>
                  <w:tcW w:w="683" w:type="pct"/>
                  <w:shd w:val="clear" w:color="auto" w:fill="auto"/>
                  <w:vAlign w:val="center"/>
                </w:tcPr>
                <w:p w14:paraId="588FDCDF">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0.01</w:t>
                  </w:r>
                </w:p>
              </w:tc>
              <w:tc>
                <w:tcPr>
                  <w:tcW w:w="585" w:type="pct"/>
                  <w:shd w:val="clear" w:color="auto" w:fill="auto"/>
                  <w:vAlign w:val="center"/>
                </w:tcPr>
                <w:p w14:paraId="22192A42">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584" w:type="pct"/>
                  <w:shd w:val="clear" w:color="auto" w:fill="auto"/>
                  <w:vAlign w:val="center"/>
                </w:tcPr>
                <w:p w14:paraId="3A76F840">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100</w:t>
                  </w:r>
                </w:p>
              </w:tc>
              <w:tc>
                <w:tcPr>
                  <w:tcW w:w="754" w:type="pct"/>
                  <w:shd w:val="clear" w:color="auto" w:fill="auto"/>
                  <w:vAlign w:val="center"/>
                </w:tcPr>
                <w:p w14:paraId="011E73AA">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0.0001</w:t>
                  </w:r>
                </w:p>
              </w:tc>
              <w:tc>
                <w:tcPr>
                  <w:tcW w:w="467" w:type="pct"/>
                  <w:vAlign w:val="center"/>
                </w:tcPr>
                <w:p w14:paraId="0847EE05">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continue"/>
                  <w:vAlign w:val="center"/>
                </w:tcPr>
                <w:p w14:paraId="4A82DE34">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r w14:paraId="648C6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vAlign w:val="center"/>
                </w:tcPr>
                <w:p w14:paraId="43D31C0E">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5</w:t>
                  </w:r>
                </w:p>
              </w:tc>
              <w:tc>
                <w:tcPr>
                  <w:tcW w:w="993" w:type="pct"/>
                  <w:shd w:val="clear" w:color="000000" w:fill="FFFFFF"/>
                  <w:vAlign w:val="center"/>
                </w:tcPr>
                <w:p w14:paraId="14E81257">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聚氨酯稀释剂</w:t>
                  </w:r>
                </w:p>
                <w:p w14:paraId="26145180">
                  <w:pPr>
                    <w:adjustRightInd w:val="0"/>
                    <w:snapToGrid w:val="0"/>
                    <w:jc w:val="center"/>
                    <w:rPr>
                      <w:rFonts w:hint="default" w:ascii="Times New Roman" w:hAnsi="Times New Roman" w:cs="Times New Roman"/>
                      <w:color w:val="000000" w:themeColor="text1"/>
                      <w:szCs w:val="21"/>
                      <w:highlight w:val="none"/>
                      <w:u w:val="single"/>
                      <w:lang w:val="zh-CN" w:bidi="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（喷枪清洗剂）</w:t>
                  </w:r>
                </w:p>
              </w:tc>
              <w:tc>
                <w:tcPr>
                  <w:tcW w:w="683" w:type="pct"/>
                  <w:shd w:val="clear" w:color="auto" w:fill="auto"/>
                  <w:vAlign w:val="center"/>
                </w:tcPr>
                <w:p w14:paraId="74875052">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0.02</w:t>
                  </w:r>
                </w:p>
              </w:tc>
              <w:tc>
                <w:tcPr>
                  <w:tcW w:w="585" w:type="pct"/>
                  <w:shd w:val="clear" w:color="auto" w:fill="auto"/>
                  <w:vAlign w:val="center"/>
                </w:tcPr>
                <w:p w14:paraId="06215C2B">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w:t>
                  </w:r>
                </w:p>
              </w:tc>
              <w:tc>
                <w:tcPr>
                  <w:tcW w:w="584" w:type="pct"/>
                  <w:shd w:val="clear" w:color="auto" w:fill="auto"/>
                  <w:vAlign w:val="center"/>
                </w:tcPr>
                <w:p w14:paraId="48D99332">
                  <w:pPr>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100</w:t>
                  </w:r>
                </w:p>
              </w:tc>
              <w:tc>
                <w:tcPr>
                  <w:tcW w:w="754" w:type="pct"/>
                  <w:shd w:val="clear" w:color="auto" w:fill="auto"/>
                  <w:vAlign w:val="center"/>
                </w:tcPr>
                <w:p w14:paraId="5DF0BA22">
                  <w:pPr>
                    <w:widowControl/>
                    <w:adjustRightInd w:val="0"/>
                    <w:snapToGrid w:val="0"/>
                    <w:jc w:val="center"/>
                    <w:textAlignment w:val="cente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0.0002</w:t>
                  </w:r>
                </w:p>
              </w:tc>
              <w:tc>
                <w:tcPr>
                  <w:tcW w:w="467" w:type="pct"/>
                  <w:vAlign w:val="center"/>
                </w:tcPr>
                <w:p w14:paraId="7721837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continue"/>
                  <w:vAlign w:val="center"/>
                </w:tcPr>
                <w:p w14:paraId="5BBC5EC4">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r w14:paraId="69AAE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shd w:val="clear" w:color="auto" w:fill="auto"/>
                  <w:vAlign w:val="center"/>
                </w:tcPr>
                <w:p w14:paraId="7882F687">
                  <w:pPr>
                    <w:pStyle w:val="58"/>
                    <w:spacing w:before="24" w:after="24"/>
                    <w:rPr>
                      <w:rFonts w:hint="default" w:ascii="Times New Roman" w:hAnsi="Times New Roman" w:cs="Times New Roman"/>
                      <w:color w:val="000000" w:themeColor="text1"/>
                      <w:kern w:val="2"/>
                      <w:szCs w:val="22"/>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2"/>
                      <w:highlight w:val="none"/>
                      <w:u w:val="single"/>
                      <w:lang w:bidi="zh-CN"/>
                      <w14:textFill>
                        <w14:solidFill>
                          <w14:schemeClr w14:val="tx1"/>
                        </w14:solidFill>
                      </w14:textFill>
                    </w:rPr>
                    <w:t>6</w:t>
                  </w:r>
                </w:p>
              </w:tc>
              <w:tc>
                <w:tcPr>
                  <w:tcW w:w="993" w:type="pct"/>
                  <w:shd w:val="clear" w:color="auto" w:fill="auto"/>
                  <w:vAlign w:val="center"/>
                </w:tcPr>
                <w:p w14:paraId="53388803">
                  <w:pPr>
                    <w:widowControl/>
                    <w:adjustRightInd w:val="0"/>
                    <w:snapToGrid w:val="0"/>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bidi="ar"/>
                      <w14:textFill>
                        <w14:solidFill>
                          <w14:schemeClr w14:val="tx1"/>
                        </w14:solidFill>
                      </w14:textFill>
                    </w:rPr>
                    <w:t>机油</w:t>
                  </w:r>
                </w:p>
              </w:tc>
              <w:tc>
                <w:tcPr>
                  <w:tcW w:w="683" w:type="pct"/>
                  <w:shd w:val="clear" w:color="auto" w:fill="auto"/>
                  <w:vAlign w:val="center"/>
                </w:tcPr>
                <w:p w14:paraId="3AC6B561">
                  <w:pPr>
                    <w:widowControl/>
                    <w:adjustRightInd w:val="0"/>
                    <w:snapToGrid w:val="0"/>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0.5</w:t>
                  </w:r>
                </w:p>
              </w:tc>
              <w:tc>
                <w:tcPr>
                  <w:tcW w:w="585" w:type="pct"/>
                  <w:shd w:val="clear" w:color="auto" w:fill="auto"/>
                  <w:vAlign w:val="center"/>
                </w:tcPr>
                <w:p w14:paraId="74291F5B">
                  <w:pPr>
                    <w:widowControl/>
                    <w:adjustRightInd w:val="0"/>
                    <w:snapToGrid w:val="0"/>
                    <w:jc w:val="center"/>
                    <w:textAlignment w:val="cente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0.005</w:t>
                  </w:r>
                </w:p>
              </w:tc>
              <w:tc>
                <w:tcPr>
                  <w:tcW w:w="584" w:type="pct"/>
                  <w:shd w:val="clear" w:color="auto" w:fill="auto"/>
                  <w:vAlign w:val="center"/>
                </w:tcPr>
                <w:p w14:paraId="68A4CD15">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2500</w:t>
                  </w:r>
                </w:p>
              </w:tc>
              <w:tc>
                <w:tcPr>
                  <w:tcW w:w="754" w:type="pct"/>
                  <w:shd w:val="clear" w:color="auto" w:fill="auto"/>
                  <w:vAlign w:val="center"/>
                </w:tcPr>
                <w:p w14:paraId="155C958B">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0.000002</w:t>
                  </w:r>
                </w:p>
              </w:tc>
              <w:tc>
                <w:tcPr>
                  <w:tcW w:w="467" w:type="pct"/>
                  <w:shd w:val="clear" w:color="auto" w:fill="auto"/>
                  <w:vAlign w:val="center"/>
                </w:tcPr>
                <w:p w14:paraId="1BE1B31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restart"/>
                  <w:vAlign w:val="center"/>
                </w:tcPr>
                <w:p w14:paraId="3CA038AC">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辅料仓库</w:t>
                  </w:r>
                </w:p>
              </w:tc>
            </w:tr>
            <w:tr w14:paraId="580CC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shd w:val="clear" w:color="auto" w:fill="auto"/>
                  <w:vAlign w:val="center"/>
                </w:tcPr>
                <w:p w14:paraId="5C115BD6">
                  <w:pPr>
                    <w:pStyle w:val="58"/>
                    <w:spacing w:before="24" w:after="24"/>
                    <w:rPr>
                      <w:rFonts w:hint="default" w:ascii="Times New Roman" w:hAnsi="Times New Roman" w:cs="Times New Roman"/>
                      <w:color w:val="000000" w:themeColor="text1"/>
                      <w:kern w:val="2"/>
                      <w:szCs w:val="22"/>
                      <w:highlight w:val="none"/>
                      <w:u w:val="single"/>
                      <w:lang w:bidi="zh-CN"/>
                      <w14:textFill>
                        <w14:solidFill>
                          <w14:schemeClr w14:val="tx1"/>
                        </w14:solidFill>
                      </w14:textFill>
                    </w:rPr>
                  </w:pPr>
                  <w:r>
                    <w:rPr>
                      <w:rFonts w:hint="default" w:ascii="Times New Roman" w:hAnsi="Times New Roman" w:cs="Times New Roman"/>
                      <w:color w:val="000000" w:themeColor="text1"/>
                      <w:kern w:val="2"/>
                      <w:szCs w:val="22"/>
                      <w:highlight w:val="none"/>
                      <w:u w:val="single"/>
                      <w:lang w:bidi="zh-CN"/>
                      <w14:textFill>
                        <w14:solidFill>
                          <w14:schemeClr w14:val="tx1"/>
                        </w14:solidFill>
                      </w14:textFill>
                    </w:rPr>
                    <w:t>7</w:t>
                  </w:r>
                </w:p>
              </w:tc>
              <w:tc>
                <w:tcPr>
                  <w:tcW w:w="993" w:type="pct"/>
                  <w:shd w:val="clear" w:color="auto" w:fill="auto"/>
                  <w:vAlign w:val="center"/>
                </w:tcPr>
                <w:p w14:paraId="20FD03CD">
                  <w:pPr>
                    <w:widowControl/>
                    <w:adjustRightInd w:val="0"/>
                    <w:snapToGrid w:val="0"/>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bidi="ar"/>
                      <w14:textFill>
                        <w14:solidFill>
                          <w14:schemeClr w14:val="tx1"/>
                        </w14:solidFill>
                      </w14:textFill>
                    </w:rPr>
                    <w:t>润滑油</w:t>
                  </w:r>
                </w:p>
              </w:tc>
              <w:tc>
                <w:tcPr>
                  <w:tcW w:w="683" w:type="pct"/>
                  <w:shd w:val="clear" w:color="auto" w:fill="auto"/>
                  <w:vAlign w:val="center"/>
                </w:tcPr>
                <w:p w14:paraId="258787E5">
                  <w:pPr>
                    <w:widowControl/>
                    <w:adjustRightInd w:val="0"/>
                    <w:snapToGrid w:val="0"/>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0.5</w:t>
                  </w:r>
                </w:p>
              </w:tc>
              <w:tc>
                <w:tcPr>
                  <w:tcW w:w="585" w:type="pct"/>
                  <w:shd w:val="clear" w:color="auto" w:fill="auto"/>
                  <w:vAlign w:val="center"/>
                </w:tcPr>
                <w:p w14:paraId="5B752D6A">
                  <w:pPr>
                    <w:widowControl/>
                    <w:adjustRightInd w:val="0"/>
                    <w:snapToGrid w:val="0"/>
                    <w:jc w:val="center"/>
                    <w:textAlignment w:val="cente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pPr>
                  <w:r>
                    <w:rPr>
                      <w:rFonts w:hint="default" w:ascii="Times New Roman" w:hAnsi="Times New Roman" w:eastAsia="等线" w:cs="Times New Roman"/>
                      <w:color w:val="000000" w:themeColor="text1"/>
                      <w:szCs w:val="21"/>
                      <w:highlight w:val="none"/>
                      <w:u w:val="single"/>
                      <w:lang w:bidi="ar"/>
                      <w14:textFill>
                        <w14:solidFill>
                          <w14:schemeClr w14:val="tx1"/>
                        </w14:solidFill>
                      </w14:textFill>
                    </w:rPr>
                    <w:t>0.005</w:t>
                  </w:r>
                </w:p>
              </w:tc>
              <w:tc>
                <w:tcPr>
                  <w:tcW w:w="584" w:type="pct"/>
                  <w:shd w:val="clear" w:color="auto" w:fill="auto"/>
                  <w:vAlign w:val="center"/>
                </w:tcPr>
                <w:p w14:paraId="395C1174">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2500</w:t>
                  </w:r>
                </w:p>
              </w:tc>
              <w:tc>
                <w:tcPr>
                  <w:tcW w:w="754" w:type="pct"/>
                  <w:shd w:val="clear" w:color="auto" w:fill="auto"/>
                  <w:vAlign w:val="center"/>
                </w:tcPr>
                <w:p w14:paraId="1C164FBB">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0.000002</w:t>
                  </w:r>
                </w:p>
              </w:tc>
              <w:tc>
                <w:tcPr>
                  <w:tcW w:w="467" w:type="pct"/>
                  <w:shd w:val="clear" w:color="auto" w:fill="auto"/>
                  <w:vAlign w:val="center"/>
                </w:tcPr>
                <w:p w14:paraId="1EFD8271">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Merge w:val="continue"/>
                  <w:vAlign w:val="center"/>
                </w:tcPr>
                <w:p w14:paraId="7E81E3CB">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r w14:paraId="61AA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3" w:type="pct"/>
                  <w:shd w:val="clear" w:color="auto" w:fill="auto"/>
                  <w:vAlign w:val="center"/>
                </w:tcPr>
                <w:p w14:paraId="7E017D56">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8</w:t>
                  </w:r>
                </w:p>
              </w:tc>
              <w:tc>
                <w:tcPr>
                  <w:tcW w:w="993" w:type="pct"/>
                  <w:shd w:val="clear" w:color="auto" w:fill="auto"/>
                  <w:vAlign w:val="center"/>
                </w:tcPr>
                <w:p w14:paraId="1A3245C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危险固废</w:t>
                  </w:r>
                </w:p>
              </w:tc>
              <w:tc>
                <w:tcPr>
                  <w:tcW w:w="683" w:type="pct"/>
                  <w:shd w:val="clear" w:color="auto" w:fill="auto"/>
                  <w:vAlign w:val="center"/>
                </w:tcPr>
                <w:p w14:paraId="15ABAEC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18.889</w:t>
                  </w:r>
                </w:p>
              </w:tc>
              <w:tc>
                <w:tcPr>
                  <w:tcW w:w="585" w:type="pct"/>
                  <w:shd w:val="clear" w:color="auto" w:fill="auto"/>
                  <w:vAlign w:val="center"/>
                </w:tcPr>
                <w:p w14:paraId="765BABDA">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w:t>
                  </w:r>
                </w:p>
              </w:tc>
              <w:tc>
                <w:tcPr>
                  <w:tcW w:w="584" w:type="pct"/>
                  <w:shd w:val="clear" w:color="auto" w:fill="auto"/>
                  <w:vAlign w:val="center"/>
                </w:tcPr>
                <w:p w14:paraId="35DCBB90">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50</w:t>
                  </w:r>
                </w:p>
              </w:tc>
              <w:tc>
                <w:tcPr>
                  <w:tcW w:w="754" w:type="pct"/>
                  <w:shd w:val="clear" w:color="auto" w:fill="auto"/>
                  <w:vAlign w:val="center"/>
                </w:tcPr>
                <w:p w14:paraId="70145668">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0.377</w:t>
                  </w:r>
                </w:p>
              </w:tc>
              <w:tc>
                <w:tcPr>
                  <w:tcW w:w="467" w:type="pct"/>
                  <w:shd w:val="clear" w:color="auto" w:fill="auto"/>
                  <w:vAlign w:val="center"/>
                </w:tcPr>
                <w:p w14:paraId="5743BE7A">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桶装</w:t>
                  </w:r>
                </w:p>
              </w:tc>
              <w:tc>
                <w:tcPr>
                  <w:tcW w:w="638" w:type="pct"/>
                  <w:vAlign w:val="center"/>
                </w:tcPr>
                <w:p w14:paraId="5CEF4155">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危废暂存间</w:t>
                  </w:r>
                </w:p>
              </w:tc>
            </w:tr>
            <w:tr w14:paraId="71061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555" w:type="pct"/>
                  <w:gridSpan w:val="4"/>
                  <w:vAlign w:val="center"/>
                </w:tcPr>
                <w:p w14:paraId="5E435554">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Q</w:t>
                  </w:r>
                </w:p>
              </w:tc>
              <w:tc>
                <w:tcPr>
                  <w:tcW w:w="584" w:type="pct"/>
                  <w:vAlign w:val="center"/>
                </w:tcPr>
                <w:p w14:paraId="582D5087">
                  <w:pPr>
                    <w:pStyle w:val="58"/>
                    <w:spacing w:before="24" w:after="24"/>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754" w:type="pct"/>
                  <w:vAlign w:val="center"/>
                </w:tcPr>
                <w:p w14:paraId="5D774327">
                  <w:pPr>
                    <w:widowControl/>
                    <w:adjustRightInd w:val="0"/>
                    <w:snapToGrid w:val="0"/>
                    <w:jc w:val="center"/>
                    <w:textAlignment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≈0.</w:t>
                  </w:r>
                  <w:r>
                    <w:rPr>
                      <w:rFonts w:hint="default" w:ascii="Times New Roman" w:hAnsi="Times New Roman" w:cs="Times New Roman"/>
                      <w:color w:val="000000" w:themeColor="text1"/>
                      <w:kern w:val="0"/>
                      <w:szCs w:val="21"/>
                      <w:highlight w:val="none"/>
                      <w:u w:val="single"/>
                      <w:lang w:bidi="ar"/>
                      <w14:textFill>
                        <w14:solidFill>
                          <w14:schemeClr w14:val="tx1"/>
                        </w14:solidFill>
                      </w14:textFill>
                    </w:rPr>
                    <w:t>397</w:t>
                  </w:r>
                </w:p>
              </w:tc>
              <w:tc>
                <w:tcPr>
                  <w:tcW w:w="467" w:type="pct"/>
                  <w:vAlign w:val="center"/>
                </w:tcPr>
                <w:p w14:paraId="43580F87">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w:t>
                  </w:r>
                </w:p>
              </w:tc>
              <w:tc>
                <w:tcPr>
                  <w:tcW w:w="638" w:type="pct"/>
                  <w:vAlign w:val="center"/>
                </w:tcPr>
                <w:p w14:paraId="24587826">
                  <w:pPr>
                    <w:pStyle w:val="58"/>
                    <w:spacing w:before="24" w:after="24"/>
                    <w:rPr>
                      <w:rFonts w:hint="default" w:ascii="Times New Roman" w:hAnsi="Times New Roman" w:cs="Times New Roman"/>
                      <w:color w:val="000000" w:themeColor="text1"/>
                      <w:kern w:val="2"/>
                      <w:highlight w:val="none"/>
                      <w:u w:val="single"/>
                      <w14:textFill>
                        <w14:solidFill>
                          <w14:schemeClr w14:val="tx1"/>
                        </w14:solidFill>
                      </w14:textFill>
                    </w:rPr>
                  </w:pPr>
                </w:p>
              </w:tc>
            </w:tr>
          </w:tbl>
          <w:p w14:paraId="11843A48">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82" w:name="_Toc7213"/>
            <w:bookmarkStart w:id="83" w:name="_Toc14106"/>
            <w:bookmarkStart w:id="84" w:name="_Toc17441"/>
            <w:r>
              <w:rPr>
                <w:rFonts w:hint="default" w:ascii="Times New Roman" w:hAnsi="Times New Roman" w:cs="Times New Roman"/>
                <w:color w:val="000000" w:themeColor="text1"/>
                <w:sz w:val="24"/>
                <w:highlight w:val="none"/>
                <w14:textFill>
                  <w14:solidFill>
                    <w14:schemeClr w14:val="tx1"/>
                  </w14:solidFill>
                </w14:textFill>
              </w:rPr>
              <w:t>2、环境风险潜势初判</w:t>
            </w:r>
            <w:bookmarkEnd w:id="82"/>
            <w:bookmarkEnd w:id="83"/>
            <w:bookmarkEnd w:id="84"/>
          </w:p>
          <w:p w14:paraId="18BCA88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项目环境风险评价技术导则》（HJ169-2018）中“附录C中C.1.1”，计算项目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14:paraId="18996097">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当企业只涉及一种风险物质时，该物质的数量与其临界量比值，即为Q。</w:t>
            </w:r>
          </w:p>
          <w:p w14:paraId="4F1B40C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当企业存在多种风险物质时，则按式（1）计算：</w:t>
            </w:r>
          </w:p>
          <w:p w14:paraId="63909D15">
            <w:pPr>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0" distR="0">
                  <wp:extent cx="2009140" cy="485140"/>
                  <wp:effectExtent l="0" t="0" r="10160" b="10160"/>
                  <wp:docPr id="63" name="图片 18" descr="说明: 1551167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8" descr="说明: 1551167891(1)"/>
                          <pic:cNvPicPr>
                            <a:picLocks noChangeAspect="1" noChangeArrowheads="1"/>
                          </pic:cNvPicPr>
                        </pic:nvPicPr>
                        <pic:blipFill>
                          <a:blip r:embed="rId42"/>
                          <a:srcRect/>
                          <a:stretch>
                            <a:fillRect/>
                          </a:stretch>
                        </pic:blipFill>
                        <pic:spPr>
                          <a:xfrm>
                            <a:off x="0" y="0"/>
                            <a:ext cx="2009140" cy="485140"/>
                          </a:xfrm>
                          <a:prstGeom prst="rect">
                            <a:avLst/>
                          </a:prstGeom>
                          <a:noFill/>
                          <a:ln w="9525">
                            <a:noFill/>
                            <a:miter lim="800000"/>
                            <a:headEnd/>
                            <a:tailEnd/>
                          </a:ln>
                        </pic:spPr>
                      </pic:pic>
                    </a:graphicData>
                  </a:graphic>
                </wp:inline>
              </w:drawing>
            </w:r>
          </w:p>
          <w:p w14:paraId="3DE70E7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式中：q</w:t>
            </w:r>
            <w:r>
              <w:rPr>
                <w:rFonts w:hint="default" w:ascii="Times New Roman" w:hAnsi="Times New Roman" w:cs="Times New Roman"/>
                <w:color w:val="000000" w:themeColor="text1"/>
                <w:sz w:val="24"/>
                <w:highlight w:val="none"/>
                <w:vertAlign w:val="subscript"/>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cs="Times New Roman"/>
                <w:color w:val="000000" w:themeColor="text1"/>
                <w:sz w:val="24"/>
                <w:highlight w:val="none"/>
                <w:vertAlign w:val="subscript"/>
                <w14:textFill>
                  <w14:solidFill>
                    <w14:schemeClr w14:val="tx1"/>
                  </w14:solidFill>
                </w14:textFill>
              </w:rPr>
              <w:t>n</w:t>
            </w:r>
            <w:r>
              <w:rPr>
                <w:rFonts w:hint="default" w:ascii="Times New Roman" w:hAnsi="Times New Roman" w:cs="Times New Roman"/>
                <w:color w:val="000000" w:themeColor="text1"/>
                <w:sz w:val="24"/>
                <w:highlight w:val="none"/>
                <w14:textFill>
                  <w14:solidFill>
                    <w14:schemeClr w14:val="tx1"/>
                  </w14:solidFill>
                </w14:textFill>
              </w:rPr>
              <w:t>—每种危险物质的最大存在总量，t；</w:t>
            </w:r>
          </w:p>
          <w:p w14:paraId="6422AAE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cs="Times New Roman"/>
                <w:color w:val="000000" w:themeColor="text1"/>
                <w:sz w:val="24"/>
                <w:highlight w:val="none"/>
                <w:vertAlign w:val="subscript"/>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cs="Times New Roman"/>
                <w:color w:val="000000" w:themeColor="text1"/>
                <w:sz w:val="24"/>
                <w:highlight w:val="none"/>
                <w:vertAlign w:val="subscript"/>
                <w14:textFill>
                  <w14:solidFill>
                    <w14:schemeClr w14:val="tx1"/>
                  </w14:solidFill>
                </w14:textFill>
              </w:rPr>
              <w:t>n</w:t>
            </w:r>
            <w:r>
              <w:rPr>
                <w:rFonts w:hint="default" w:ascii="Times New Roman" w:hAnsi="Times New Roman" w:cs="Times New Roman"/>
                <w:color w:val="000000" w:themeColor="text1"/>
                <w:sz w:val="24"/>
                <w:highlight w:val="none"/>
                <w14:textFill>
                  <w14:solidFill>
                    <w14:schemeClr w14:val="tx1"/>
                  </w14:solidFill>
                </w14:textFill>
              </w:rPr>
              <w:t>—每种危险物质的临界量，t。</w:t>
            </w:r>
          </w:p>
          <w:p w14:paraId="2103E25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eastAsia="微软雅黑" w:cs="Times New Roman"/>
                <w:color w:val="000000" w:themeColor="text1"/>
                <w:sz w:val="24"/>
                <w:highlight w:val="none"/>
                <w14:textFill>
                  <w14:solidFill>
                    <w14:schemeClr w14:val="tx1"/>
                  </w14:solidFill>
                </w14:textFill>
              </w:rPr>
              <w:t>&lt;</w:t>
            </w:r>
            <w:r>
              <w:rPr>
                <w:rFonts w:hint="default" w:ascii="Times New Roman" w:hAnsi="Times New Roman" w:cs="Times New Roman"/>
                <w:color w:val="000000" w:themeColor="text1"/>
                <w:sz w:val="24"/>
                <w:highlight w:val="none"/>
                <w14:textFill>
                  <w14:solidFill>
                    <w14:schemeClr w14:val="tx1"/>
                  </w14:solidFill>
                </w14:textFill>
              </w:rPr>
              <w:t>1，该企业环境风险潜势为</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1 \* ROMAN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I</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w:t>
            </w:r>
          </w:p>
          <w:p w14:paraId="2D0F362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eastAsia="微软雅黑" w:cs="Times New Roman"/>
                <w:color w:val="000000" w:themeColor="text1"/>
                <w:sz w:val="24"/>
                <w:highlight w:val="none"/>
                <w14:textFill>
                  <w14:solidFill>
                    <w14:schemeClr w14:val="tx1"/>
                  </w14:solidFill>
                </w14:textFill>
              </w:rPr>
              <w:t>&gt;</w:t>
            </w:r>
            <w:r>
              <w:rPr>
                <w:rFonts w:hint="default" w:ascii="Times New Roman" w:hAnsi="Times New Roman" w:cs="Times New Roman"/>
                <w:color w:val="000000" w:themeColor="text1"/>
                <w:sz w:val="24"/>
                <w:highlight w:val="none"/>
                <w14:textFill>
                  <w14:solidFill>
                    <w14:schemeClr w14:val="tx1"/>
                  </w14:solidFill>
                </w14:textFill>
              </w:rPr>
              <w:t>1时，将Q值划分为：</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1 \* GB3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①</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1</w:t>
            </w:r>
            <w:r>
              <w:rPr>
                <w:rFonts w:hint="default" w:ascii="Times New Roman" w:hAnsi="Times New Roman" w:eastAsia="微软雅黑"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eastAsia="微软雅黑" w:cs="Times New Roman"/>
                <w:color w:val="000000" w:themeColor="text1"/>
                <w:sz w:val="24"/>
                <w:highlight w:val="none"/>
                <w14:textFill>
                  <w14:solidFill>
                    <w14:schemeClr w14:val="tx1"/>
                  </w14:solidFill>
                </w14:textFill>
              </w:rPr>
              <w:t>&lt;</w:t>
            </w:r>
            <w:r>
              <w:rPr>
                <w:rFonts w:hint="default" w:ascii="Times New Roman" w:hAnsi="Times New Roman" w:cs="Times New Roman"/>
                <w:color w:val="000000" w:themeColor="text1"/>
                <w:sz w:val="24"/>
                <w:highlight w:val="none"/>
                <w14:textFill>
                  <w14:solidFill>
                    <w14:schemeClr w14:val="tx1"/>
                  </w14:solidFill>
                </w14:textFill>
              </w:rPr>
              <w:t>10；</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2 \* GB3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②</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10</w:t>
            </w:r>
            <w:r>
              <w:rPr>
                <w:rFonts w:hint="default" w:ascii="Times New Roman" w:hAnsi="Times New Roman" w:eastAsia="微软雅黑"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eastAsia="微软雅黑" w:cs="Times New Roman"/>
                <w:color w:val="000000" w:themeColor="text1"/>
                <w:sz w:val="24"/>
                <w:highlight w:val="none"/>
                <w14:textFill>
                  <w14:solidFill>
                    <w14:schemeClr w14:val="tx1"/>
                  </w14:solidFill>
                </w14:textFill>
              </w:rPr>
              <w:t>&lt;</w:t>
            </w:r>
            <w:r>
              <w:rPr>
                <w:rFonts w:hint="default" w:ascii="Times New Roman" w:hAnsi="Times New Roman" w:cs="Times New Roman"/>
                <w:color w:val="000000" w:themeColor="text1"/>
                <w:sz w:val="24"/>
                <w:highlight w:val="none"/>
                <w14:textFill>
                  <w14:solidFill>
                    <w14:schemeClr w14:val="tx1"/>
                  </w14:solidFill>
                </w14:textFill>
              </w:rPr>
              <w:t>100；</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3 \* GB3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③</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Q</w:t>
            </w:r>
            <w:r>
              <w:rPr>
                <w:rFonts w:hint="default" w:ascii="Times New Roman" w:hAnsi="Times New Roman" w:eastAsia="微软雅黑"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100。</w:t>
            </w:r>
          </w:p>
          <w:p w14:paraId="3B9DCE3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根据上表内容可知本项目危险物质数量与临界量比值为Q&lt;1。因此，本项目环境风险潜势为</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1 \* ROMAN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I</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，环境风险评价等级为简单分析。</w:t>
            </w:r>
          </w:p>
          <w:p w14:paraId="2FFBD49D">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85" w:name="_Toc28657"/>
            <w:bookmarkStart w:id="86" w:name="_Toc31017"/>
            <w:bookmarkStart w:id="87" w:name="_Toc30409"/>
            <w:r>
              <w:rPr>
                <w:rFonts w:hint="default" w:ascii="Times New Roman" w:hAnsi="Times New Roman" w:cs="Times New Roman"/>
                <w:color w:val="000000" w:themeColor="text1"/>
                <w:sz w:val="24"/>
                <w:highlight w:val="none"/>
                <w14:textFill>
                  <w14:solidFill>
                    <w14:schemeClr w14:val="tx1"/>
                  </w14:solidFill>
                </w14:textFill>
              </w:rPr>
              <w:t>3、风险识别</w:t>
            </w:r>
            <w:bookmarkEnd w:id="85"/>
            <w:bookmarkEnd w:id="86"/>
            <w:bookmarkEnd w:id="87"/>
          </w:p>
          <w:p w14:paraId="6B18685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风险识别的内容包括物质危险性识别、生产系统危险性识别和危险物质向环境转移的途径识别。物质危险性识别，包括主要原辅材料、污染物、火灾和爆炸伴生次生物等。生产系统危险性识别，包括主要生产装置、储运设施、公用工程和辅助生产设施，以及环境保护设施等。危险物质向环境转移的途径识别，包括分析危险物质特性及可能的环境风险类型，识别危险物质影响环境的途径，分析可能影响的环境敏感目标。</w:t>
            </w:r>
          </w:p>
          <w:p w14:paraId="2266F11A">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bookmarkStart w:id="88" w:name="_Toc23085"/>
            <w:r>
              <w:rPr>
                <w:rFonts w:hint="default" w:ascii="Times New Roman" w:hAnsi="Times New Roman" w:cs="Times New Roman"/>
                <w:color w:val="000000" w:themeColor="text1"/>
                <w:sz w:val="24"/>
                <w:szCs w:val="24"/>
                <w:highlight w:val="none"/>
                <w14:textFill>
                  <w14:solidFill>
                    <w14:schemeClr w14:val="tx1"/>
                  </w14:solidFill>
                </w14:textFill>
              </w:rPr>
              <w:t>（1）物质危险识别</w:t>
            </w:r>
            <w:bookmarkEnd w:id="88"/>
          </w:p>
          <w:p w14:paraId="623C27B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根据《建设项目环境风险评价技术导则》附录B，对项目主要原辅材料、污染物、火灾和爆炸伴生/次生物进行识别，本项目涉及的风险物质为油性油漆、机油、润滑油、危险固废等。</w:t>
            </w:r>
          </w:p>
          <w:p w14:paraId="38CC9D4E">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bookmarkStart w:id="89" w:name="_Toc21688"/>
            <w:r>
              <w:rPr>
                <w:rFonts w:hint="default" w:ascii="Times New Roman" w:hAnsi="Times New Roman" w:cs="Times New Roman"/>
                <w:color w:val="000000" w:themeColor="text1"/>
                <w:sz w:val="24"/>
                <w:szCs w:val="24"/>
                <w:highlight w:val="none"/>
                <w14:textFill>
                  <w14:solidFill>
                    <w14:schemeClr w14:val="tx1"/>
                  </w14:solidFill>
                </w14:textFill>
              </w:rPr>
              <w:t>（2）生产系统危险性识别</w:t>
            </w:r>
            <w:bookmarkEnd w:id="89"/>
          </w:p>
          <w:p w14:paraId="1CBB7C8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按工艺流程和平面布置功能区划，结合物质危险性识别，可确定本项目主要的风险源为主要为油漆库、危废暂存间、废气处理设施和废水处理设施等。本项目生产系统危险主要为储运设施风险、生产设施风险、废气处理设施风险。</w:t>
            </w:r>
          </w:p>
          <w:p w14:paraId="5FA5DE13">
            <w:pPr>
              <w:pStyle w:val="7"/>
              <w:numPr>
                <w:ilvl w:val="3"/>
                <w:numId w:val="0"/>
              </w:numPr>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1）储存风险识别</w:t>
            </w:r>
          </w:p>
          <w:p w14:paraId="7945693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本项目油漆生产线内设置有专门的油漆库、辅材仓库及危废暂存间储存生产过程产生的危废固废等。</w:t>
            </w:r>
          </w:p>
          <w:p w14:paraId="76E2A63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本项目生产车间、办公房、库房和危废暂存间均严格按《建筑设计防火规范》（GB50016-2014）中要求设计，库房设置相应的防止液体流散的设施以及遇水燃烧爆炸的物品库房设有防止水浸渍损失的设施。</w:t>
            </w:r>
          </w:p>
          <w:p w14:paraId="7010802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生产车间生产设施、仓库包装桶/袋、油桶等泄漏事故发生时，物料进入仓库地面自然形成液池，然后在液池表面挥发，进入空气，随大气扩散而污染大气环境；如果仓库地面防渗层开裂，物料会通过裂缝进入土壤并渗入地下水，对土壤、地下水造成污染；如果泄漏物外流至仓库外无防渗地面，会进入土壤并渗入地下水，对土壤、地下水造成污染；还会进入雨水管道排入地表水，对地表水造成污染。</w:t>
            </w:r>
          </w:p>
          <w:p w14:paraId="441113BC">
            <w:pPr>
              <w:pStyle w:val="7"/>
              <w:numPr>
                <w:ilvl w:val="3"/>
                <w:numId w:val="0"/>
              </w:numPr>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2）危险物质向环境转移的途径识别</w:t>
            </w:r>
          </w:p>
          <w:p w14:paraId="5E2EFCB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生产过程中使用的油性漆等具有可燃等特性，操作不当或管理不善造成其接触火源而引发火灾。其中危险物质或有毒有害物质泄漏后会挥发出有毒有害气体，经储存场所扩散至大气环境。液态危险物质泄漏流至地表会腐蚀、浸渍地面，渗透至下方土壤，甚至是地下水环境。易燃物质遇明火发生火灾后，产生的有毒有害烟气扩散至大气环境。</w:t>
            </w:r>
          </w:p>
          <w:p w14:paraId="4BA20E7D">
            <w:pPr>
              <w:pStyle w:val="7"/>
              <w:numPr>
                <w:ilvl w:val="3"/>
                <w:numId w:val="0"/>
              </w:numPr>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3）废气处理设施风险</w:t>
            </w:r>
          </w:p>
          <w:p w14:paraId="23129D9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本项目运营期生产废气主要为喷漆生产线。</w:t>
            </w:r>
          </w:p>
          <w:p w14:paraId="1C355F7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本项目喷漆生产线产生的挥发性有机废气均通过密闭收集+水喷淋+干式过滤+蜂窝活性炭吸附浓缩/脱附+催化燃烧+15m高排气筒排放，通过采取以上措施后，本项目废气能够达标排放，对周围环境的影响很小。</w:t>
            </w:r>
          </w:p>
          <w:p w14:paraId="469BFA06">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若废气处理设施故障，则可能发生企业生产废气事故排放，污染厂区和周边空气环境，影响职工的身体健康。</w:t>
            </w:r>
          </w:p>
          <w:p w14:paraId="68D38EF2">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bookmarkStart w:id="90" w:name="_Toc1101"/>
            <w:r>
              <w:rPr>
                <w:rFonts w:hint="default" w:ascii="Times New Roman" w:hAnsi="Times New Roman" w:cs="Times New Roman"/>
                <w:color w:val="000000" w:themeColor="text1"/>
                <w:sz w:val="24"/>
                <w:szCs w:val="24"/>
                <w:highlight w:val="none"/>
                <w14:textFill>
                  <w14:solidFill>
                    <w14:schemeClr w14:val="tx1"/>
                  </w14:solidFill>
                </w14:textFill>
              </w:rPr>
              <w:t>4、风险识别结果</w:t>
            </w:r>
            <w:bookmarkEnd w:id="90"/>
          </w:p>
          <w:p w14:paraId="171FC0C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通过对项目物质风险和生产系统风险的调查，项目的环境风险识别情况见下表。</w:t>
            </w:r>
          </w:p>
          <w:p w14:paraId="3833EE49">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表4-</w:t>
            </w:r>
            <w:r>
              <w:rPr>
                <w:rFonts w:hint="default" w:ascii="Times New Roman" w:hAnsi="Times New Roman" w:cs="Times New Roman"/>
                <w:color w:val="000000" w:themeColor="text1"/>
                <w:highlight w:val="none"/>
                <w14:textFill>
                  <w14:solidFill>
                    <w14:schemeClr w14:val="tx1"/>
                  </w14:solidFill>
                </w14:textFill>
              </w:rPr>
              <w:t>30</w:t>
            </w:r>
            <w:r>
              <w:rPr>
                <w:rFonts w:hint="default" w:ascii="Times New Roman" w:hAnsi="Times New Roman" w:cs="Times New Roman"/>
                <w:color w:val="000000" w:themeColor="text1"/>
                <w:highlight w:val="none"/>
                <w14:textFill>
                  <w14:solidFill>
                    <w14:schemeClr w14:val="tx1"/>
                  </w14:solidFill>
                </w14:textFill>
              </w:rPr>
              <w:t xml:space="preserve">  建设项目环境风险识别表</w:t>
            </w:r>
          </w:p>
          <w:tbl>
            <w:tblPr>
              <w:tblStyle w:val="3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999"/>
              <w:gridCol w:w="1194"/>
              <w:gridCol w:w="1370"/>
              <w:gridCol w:w="1515"/>
              <w:gridCol w:w="1439"/>
              <w:gridCol w:w="1466"/>
            </w:tblGrid>
            <w:tr w14:paraId="15463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85" w:type="pct"/>
                  <w:vAlign w:val="center"/>
                </w:tcPr>
                <w:p w14:paraId="3B49256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序号</w:t>
                  </w:r>
                </w:p>
              </w:tc>
              <w:tc>
                <w:tcPr>
                  <w:tcW w:w="590" w:type="pct"/>
                  <w:vAlign w:val="center"/>
                </w:tcPr>
                <w:p w14:paraId="002C09A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危险单元</w:t>
                  </w:r>
                </w:p>
              </w:tc>
              <w:tc>
                <w:tcPr>
                  <w:tcW w:w="705" w:type="pct"/>
                  <w:vAlign w:val="center"/>
                </w:tcPr>
                <w:p w14:paraId="347B187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风险源</w:t>
                  </w:r>
                </w:p>
              </w:tc>
              <w:tc>
                <w:tcPr>
                  <w:tcW w:w="809" w:type="pct"/>
                  <w:vAlign w:val="center"/>
                </w:tcPr>
                <w:p w14:paraId="7166946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主要危险特性</w:t>
                  </w:r>
                </w:p>
              </w:tc>
              <w:tc>
                <w:tcPr>
                  <w:tcW w:w="894" w:type="pct"/>
                  <w:vAlign w:val="center"/>
                </w:tcPr>
                <w:p w14:paraId="07580F5C">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环境风险类型</w:t>
                  </w:r>
                </w:p>
              </w:tc>
              <w:tc>
                <w:tcPr>
                  <w:tcW w:w="849" w:type="pct"/>
                  <w:vAlign w:val="center"/>
                </w:tcPr>
                <w:p w14:paraId="5851EB1A">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环境影响途径</w:t>
                  </w:r>
                </w:p>
              </w:tc>
              <w:tc>
                <w:tcPr>
                  <w:tcW w:w="865" w:type="pct"/>
                  <w:vAlign w:val="center"/>
                </w:tcPr>
                <w:p w14:paraId="59B5248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可能受影响的环境敏感目标</w:t>
                  </w:r>
                </w:p>
              </w:tc>
            </w:tr>
            <w:tr w14:paraId="6AAF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 w:type="pct"/>
                  <w:vAlign w:val="center"/>
                </w:tcPr>
                <w:p w14:paraId="42B08E1E">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1</w:t>
                  </w:r>
                </w:p>
              </w:tc>
              <w:tc>
                <w:tcPr>
                  <w:tcW w:w="590" w:type="pct"/>
                  <w:vAlign w:val="center"/>
                </w:tcPr>
                <w:p w14:paraId="0A48DBDC">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油漆库</w:t>
                  </w:r>
                </w:p>
              </w:tc>
              <w:tc>
                <w:tcPr>
                  <w:tcW w:w="705" w:type="pct"/>
                  <w:vAlign w:val="center"/>
                </w:tcPr>
                <w:p w14:paraId="28273AE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油漆</w:t>
                  </w:r>
                </w:p>
              </w:tc>
              <w:tc>
                <w:tcPr>
                  <w:tcW w:w="809" w:type="pct"/>
                  <w:vAlign w:val="center"/>
                </w:tcPr>
                <w:p w14:paraId="040C4BD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燃烧、有毒</w:t>
                  </w:r>
                </w:p>
              </w:tc>
              <w:tc>
                <w:tcPr>
                  <w:tcW w:w="894" w:type="pct"/>
                  <w:vAlign w:val="center"/>
                </w:tcPr>
                <w:p w14:paraId="66C59A3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火灾、泄露</w:t>
                  </w:r>
                </w:p>
              </w:tc>
              <w:tc>
                <w:tcPr>
                  <w:tcW w:w="849" w:type="pct"/>
                  <w:vAlign w:val="center"/>
                </w:tcPr>
                <w:p w14:paraId="45B94103">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大气扩散、土壤、地下水</w:t>
                  </w:r>
                </w:p>
              </w:tc>
              <w:tc>
                <w:tcPr>
                  <w:tcW w:w="865" w:type="pct"/>
                  <w:vAlign w:val="center"/>
                </w:tcPr>
                <w:p w14:paraId="6EFFE98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周围居民区大气环境</w:t>
                  </w:r>
                </w:p>
              </w:tc>
            </w:tr>
            <w:tr w14:paraId="69778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 w:type="pct"/>
                  <w:vAlign w:val="center"/>
                </w:tcPr>
                <w:p w14:paraId="73A9DD5C">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2</w:t>
                  </w:r>
                </w:p>
              </w:tc>
              <w:tc>
                <w:tcPr>
                  <w:tcW w:w="590" w:type="pct"/>
                  <w:vAlign w:val="center"/>
                </w:tcPr>
                <w:p w14:paraId="569E0C1B">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辅材仓库</w:t>
                  </w:r>
                </w:p>
              </w:tc>
              <w:tc>
                <w:tcPr>
                  <w:tcW w:w="705" w:type="pct"/>
                  <w:vAlign w:val="center"/>
                </w:tcPr>
                <w:p w14:paraId="0843410D">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油类</w:t>
                  </w:r>
                </w:p>
              </w:tc>
              <w:tc>
                <w:tcPr>
                  <w:tcW w:w="809" w:type="pct"/>
                  <w:vAlign w:val="center"/>
                </w:tcPr>
                <w:p w14:paraId="17235004">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燃烧、腐蚀性</w:t>
                  </w:r>
                </w:p>
              </w:tc>
              <w:tc>
                <w:tcPr>
                  <w:tcW w:w="894" w:type="pct"/>
                  <w:vAlign w:val="center"/>
                </w:tcPr>
                <w:p w14:paraId="40C15716">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火灾、泄露</w:t>
                  </w:r>
                </w:p>
              </w:tc>
              <w:tc>
                <w:tcPr>
                  <w:tcW w:w="849" w:type="pct"/>
                  <w:vAlign w:val="center"/>
                </w:tcPr>
                <w:p w14:paraId="5436B238">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大气扩散、土壤、地下水</w:t>
                  </w:r>
                </w:p>
              </w:tc>
              <w:tc>
                <w:tcPr>
                  <w:tcW w:w="865" w:type="pct"/>
                  <w:vAlign w:val="center"/>
                </w:tcPr>
                <w:p w14:paraId="515FF645">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周围居民区大气环境</w:t>
                  </w:r>
                </w:p>
              </w:tc>
            </w:tr>
            <w:tr w14:paraId="457DD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 w:type="pct"/>
                  <w:vAlign w:val="center"/>
                </w:tcPr>
                <w:p w14:paraId="2A535039">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3</w:t>
                  </w:r>
                </w:p>
              </w:tc>
              <w:tc>
                <w:tcPr>
                  <w:tcW w:w="590" w:type="pct"/>
                  <w:vAlign w:val="center"/>
                </w:tcPr>
                <w:p w14:paraId="593962A3">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危废暂存间</w:t>
                  </w:r>
                </w:p>
              </w:tc>
              <w:tc>
                <w:tcPr>
                  <w:tcW w:w="705" w:type="pct"/>
                  <w:vAlign w:val="center"/>
                </w:tcPr>
                <w:p w14:paraId="0989EF72">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危险固废</w:t>
                  </w:r>
                </w:p>
              </w:tc>
              <w:tc>
                <w:tcPr>
                  <w:tcW w:w="809" w:type="pct"/>
                  <w:vAlign w:val="center"/>
                </w:tcPr>
                <w:p w14:paraId="0BB38EEE">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危险固废</w:t>
                  </w:r>
                </w:p>
              </w:tc>
              <w:tc>
                <w:tcPr>
                  <w:tcW w:w="894" w:type="pct"/>
                  <w:vAlign w:val="center"/>
                </w:tcPr>
                <w:p w14:paraId="027F01E1">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装卸或存储可能泄露污染地下水及土壤</w:t>
                  </w:r>
                </w:p>
              </w:tc>
              <w:tc>
                <w:tcPr>
                  <w:tcW w:w="849" w:type="pct"/>
                  <w:vAlign w:val="center"/>
                </w:tcPr>
                <w:p w14:paraId="5D77B7CE">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土壤、地下水</w:t>
                  </w:r>
                </w:p>
              </w:tc>
              <w:tc>
                <w:tcPr>
                  <w:tcW w:w="865" w:type="pct"/>
                  <w:vAlign w:val="center"/>
                </w:tcPr>
                <w:p w14:paraId="54D333FA">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厂区范围地下水及土壤</w:t>
                  </w:r>
                </w:p>
              </w:tc>
            </w:tr>
            <w:tr w14:paraId="56812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5" w:type="pct"/>
                  <w:vAlign w:val="center"/>
                </w:tcPr>
                <w:p w14:paraId="086DF892">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4</w:t>
                  </w:r>
                </w:p>
              </w:tc>
              <w:tc>
                <w:tcPr>
                  <w:tcW w:w="590" w:type="pct"/>
                  <w:vAlign w:val="center"/>
                </w:tcPr>
                <w:p w14:paraId="7DE5A338">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废气处理设施</w:t>
                  </w:r>
                </w:p>
              </w:tc>
              <w:tc>
                <w:tcPr>
                  <w:tcW w:w="705" w:type="pct"/>
                  <w:vAlign w:val="center"/>
                </w:tcPr>
                <w:p w14:paraId="6DB3A5A9">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废气处理系统</w:t>
                  </w:r>
                </w:p>
              </w:tc>
              <w:tc>
                <w:tcPr>
                  <w:tcW w:w="809" w:type="pct"/>
                  <w:vAlign w:val="center"/>
                </w:tcPr>
                <w:p w14:paraId="1FE72A39">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挥发性有机废气、颗粒物</w:t>
                  </w:r>
                </w:p>
              </w:tc>
              <w:tc>
                <w:tcPr>
                  <w:tcW w:w="894" w:type="pct"/>
                  <w:vAlign w:val="center"/>
                </w:tcPr>
                <w:p w14:paraId="024BA0DB">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未经处理的废气对周围大气环境造成影响</w:t>
                  </w:r>
                </w:p>
              </w:tc>
              <w:tc>
                <w:tcPr>
                  <w:tcW w:w="849" w:type="pct"/>
                  <w:vAlign w:val="center"/>
                </w:tcPr>
                <w:p w14:paraId="2A66A45D">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大气扩散</w:t>
                  </w:r>
                </w:p>
              </w:tc>
              <w:tc>
                <w:tcPr>
                  <w:tcW w:w="865" w:type="pct"/>
                  <w:vAlign w:val="center"/>
                </w:tcPr>
                <w:p w14:paraId="3EBC3D1C">
                  <w:pPr>
                    <w:pStyle w:val="58"/>
                    <w:spacing w:before="24" w:after="24"/>
                    <w:rPr>
                      <w:rFonts w:hint="default" w:ascii="Times New Roman" w:hAnsi="Times New Roman" w:cs="Times New Roman"/>
                      <w:color w:val="000000" w:themeColor="text1"/>
                      <w:kern w:val="2"/>
                      <w:szCs w:val="22"/>
                      <w:highlight w:val="none"/>
                      <w:lang w:bidi="zh-CN"/>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周围居民区大气环境</w:t>
                  </w:r>
                </w:p>
              </w:tc>
            </w:tr>
          </w:tbl>
          <w:p w14:paraId="334C2340">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91" w:name="_Toc16540"/>
            <w:bookmarkStart w:id="92" w:name="_Toc5205"/>
            <w:bookmarkStart w:id="93" w:name="_Toc9307"/>
            <w:bookmarkStart w:id="94" w:name="_Toc1743"/>
            <w:r>
              <w:rPr>
                <w:rFonts w:hint="default" w:ascii="Times New Roman" w:hAnsi="Times New Roman" w:cs="Times New Roman"/>
                <w:color w:val="000000" w:themeColor="text1"/>
                <w:sz w:val="24"/>
                <w:highlight w:val="none"/>
                <w14:textFill>
                  <w14:solidFill>
                    <w14:schemeClr w14:val="tx1"/>
                  </w14:solidFill>
                </w14:textFill>
              </w:rPr>
              <w:t>5、环境风险分析</w:t>
            </w:r>
            <w:bookmarkEnd w:id="91"/>
            <w:bookmarkEnd w:id="92"/>
            <w:bookmarkEnd w:id="93"/>
            <w:bookmarkEnd w:id="94"/>
          </w:p>
          <w:p w14:paraId="0AF11429">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（1）大气环境风险评价</w:t>
            </w:r>
          </w:p>
          <w:p w14:paraId="5D9F2E6D">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①泄露影响</w:t>
            </w:r>
          </w:p>
          <w:p w14:paraId="3EC4FB04">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原材料泄漏会产生挥发性有机气体，从而影响大气环境；喷漆及烘干过程中挥发性有机废气处理设施失效，可能造成挥发性有机废气直接排放；均可能对周围大气环境造成一定程度的影响。</w:t>
            </w:r>
          </w:p>
          <w:p w14:paraId="25DEA61E">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②火灾伴生/次生影响</w:t>
            </w:r>
          </w:p>
          <w:p w14:paraId="69978252">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本项目危险物质中油漆等易燃有机溶剂、油类及天然气若遇静电或明火等可能发生火灾事故。根据燃料化学元素可知，燃烧产物主要一氧化碳、二氧化碳等有毒有害气体进而影响大气环境。</w:t>
            </w:r>
          </w:p>
          <w:p w14:paraId="746F712E">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（2）地表水环境风险评价</w:t>
            </w:r>
          </w:p>
          <w:p w14:paraId="7255F967">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油漆库、辅料仓库和危废间地面均需设置地漏、房门口设置围堰，大量液体物质泄露后不会造成废液外流污染地表水环境；少量液态泄漏采用消防沙或抹布吸收后，亦不会污染地表水环境。</w:t>
            </w:r>
          </w:p>
          <w:p w14:paraId="674DE2D2">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发生小面积火灾情况，采用灭火器、消防沙灭火，不会产生废水；大面积火灾需使用消防水灭火时，产生大量的消防废水，本项目厂区设置消防灭火设施，灭火时消防水量按45L/S计算，火灾延续时间按照30min计，则消防水量为81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在火灾事故发生时，及时关闭雨、污水截止阀，控制管道阀门，使事故废水收集至污水处理站事故池（兼消防废水收集池）进行暂存，待事故结束后，视情况分批次排至废水处理站处理达标后外排园区管网或直接交由有资质单位处理。</w:t>
            </w:r>
          </w:p>
          <w:p w14:paraId="32037C9D">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综上，本项目发生物质泄漏或事故水影响地表水事件，地表水环境影响可接受。</w:t>
            </w:r>
          </w:p>
          <w:p w14:paraId="4AD06335">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（3）地下水、土壤环境风险评价</w:t>
            </w:r>
          </w:p>
          <w:p w14:paraId="377ACFB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当油漆库、辅料仓库、危废间液态物质包装破损，会腐蚀地面，渗入土壤，后经过土壤包气带渗透至潜水含水层，从而影响土壤和地下水环境。遇火源引起火灾甚至爆炸，扑救火灾产生泡沫溶液或消防废水通过污水或雨水管网对地下水及土壤造成污染。</w:t>
            </w:r>
          </w:p>
          <w:p w14:paraId="7D800CDA">
            <w:pPr>
              <w:pStyle w:val="4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废水泄露：本项目生产过程中产生的废水通过明管输送至自建污水处理站内进行处理，若生产废水输水明管或污水处理站废液池等发生泄漏，发现人员第一时间通知车间负责人和生产线负责人，各生产线负责人负责关闭排水阀门，停止生产废水排放；车间负责人组织本车间工作人员对泄漏点进行堵漏和对已泄露的生产废水进行吸附处理。若污水处理站各工艺池体发生泄漏，发现人员第一时间通知污水处理站负责人，污水处理站负责人组织人员对泄露池体的泄漏点进行堵漏，同时组织人员利用沙土或其他惰性物资对已泄露的液体进行吸附，吸附后的沙土或惰性物质集中收集作为危废处置，污水处理站负责人根据泄露点的情况判断是否有必要将发生泄漏的池内的废水转移至事故应急池。</w:t>
            </w:r>
          </w:p>
          <w:p w14:paraId="3479F1D2">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（4）环保措施风险评价</w:t>
            </w:r>
          </w:p>
          <w:p w14:paraId="453ECB0C">
            <w:pPr>
              <w:widowControl/>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bidi="ar"/>
                <w14:textFill>
                  <w14:solidFill>
                    <w14:schemeClr w14:val="tx1"/>
                  </w14:solidFill>
                </w14:textFill>
              </w:rPr>
              <w:t>本项目产生的挥发性有机废气通过活性炭吸附/脱附+催化燃烧+15m高排气筒外排，根据环保设备单位提供的资料，项目活性炭箱设置消防水管路，有效避免活性炭的火灾损坏，同时在活性炭脱附营道出口与空气预热器进口之间设置阻火器，阻火器的设置可以有效起到防爆阻火的目的，保护系统装置的安全运行。活性炭吸附床内温度超过报警值，自动启用火灾应急自动喷淋系统。因此环保措施风险较小。</w:t>
            </w:r>
          </w:p>
          <w:p w14:paraId="15006953">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95" w:name="_Toc14057"/>
            <w:bookmarkStart w:id="96" w:name="_Toc6228"/>
            <w:r>
              <w:rPr>
                <w:rFonts w:hint="default" w:ascii="Times New Roman" w:hAnsi="Times New Roman" w:cs="Times New Roman"/>
                <w:color w:val="000000" w:themeColor="text1"/>
                <w:sz w:val="24"/>
                <w:highlight w:val="none"/>
                <w14:textFill>
                  <w14:solidFill>
                    <w14:schemeClr w14:val="tx1"/>
                  </w14:solidFill>
                </w14:textFill>
              </w:rPr>
              <w:t>6、环境风险防控措施</w:t>
            </w:r>
            <w:bookmarkEnd w:id="95"/>
            <w:bookmarkEnd w:id="96"/>
          </w:p>
          <w:p w14:paraId="4BD54016">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（1）物料泄露事故防范措施</w:t>
            </w:r>
          </w:p>
          <w:p w14:paraId="4F0868E7">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厂房内整体按照要求进行地面硬化处理，危险固废暂存间应设围堰、废液收集槽等；辅料仓库、油漆库设置围堰，污水处理站内设置事故废水收集池，企业安排专人负责管理，对污水处理站、危废间、辅料仓库、油漆库等进行检查，防止因管理不善而导致物料泄漏。当发现包装桶发生破裂导致泄露时，及时转移泄露物至完好的包装桶。</w:t>
            </w:r>
          </w:p>
          <w:p w14:paraId="10AD48C0">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（2）火灾事故防范措施</w:t>
            </w:r>
          </w:p>
          <w:p w14:paraId="62CCB7A1">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每天对车间设备及天然气管道进行检查，防止因为设备故障及天然气泄露而引起火灾，对生产员工进行上岗培训，使其了解作业中应该注意的具体事项。车间内原材料区和危险废物存放间门口配套设置灭火器，并定期对消防器材进行维护管理。定期组织员工进行消防安全教育，学会正确使用灭火器，并定期组织相关的消防演练。</w:t>
            </w:r>
          </w:p>
          <w:p w14:paraId="62AD7912">
            <w:pPr>
              <w:pStyle w:val="6"/>
              <w:spacing w:before="0" w:after="0" w:line="360" w:lineRule="auto"/>
              <w:ind w:firstLine="482"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（3）其余物料事故防范及应急措施</w:t>
            </w:r>
          </w:p>
          <w:p w14:paraId="340AA2B9">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为减少及避免发生环境事故，对废气治理设施、危废暂存间及原材料存放区采取以下事故防范及应急措施:</w:t>
            </w:r>
          </w:p>
          <w:p w14:paraId="17115E5D">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（1）定期检查废气治理设备完好情况，防止因管理不善，造成大气污染:定期监测，确保排放大气污染物达标。危废间做好防风、防雨、防渗等措施；加强管理。</w:t>
            </w:r>
          </w:p>
          <w:p w14:paraId="105DD062">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（2）一旦出现事故，立即由平时的生产管理体制转为事故处理管理体制，进行处理事故的指挥决策。对于大气环保措施失灵时，应停止生产，杜绝污染源。</w:t>
            </w:r>
          </w:p>
          <w:p w14:paraId="7A0FF4B9">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3）生产区及贮存区严格禁止吸烟等明火火源出现，将生产火源隔离；车间定期开窗换风。在生产区及贮存区设置移动灭火器等消防设施；生产工人需经培训、考核上岗，学习工艺生产技术、安全生产要点、安全操作规程和工艺操作规程等。</w:t>
            </w:r>
          </w:p>
          <w:p w14:paraId="512C5517">
            <w:pPr>
              <w:pStyle w:val="2"/>
              <w:adjustRightInd w:val="0"/>
              <w:snapToGrid w:val="0"/>
              <w:spacing w:after="0" w:line="360" w:lineRule="auto"/>
              <w:ind w:left="0" w:leftChars="0" w:firstLine="480"/>
              <w:rPr>
                <w:rFonts w:hint="default" w:ascii="Times New Roman" w:hAnsi="Times New Roman"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14:textFill>
                  <w14:solidFill>
                    <w14:schemeClr w14:val="tx1"/>
                  </w14:solidFill>
                </w14:textFill>
              </w:rPr>
              <w:t>（4）清理现场、维修设备、查清事故原因，处理人员伤亡时间，了解现场及周用环境污染程度并及时处理污染事故。</w:t>
            </w:r>
          </w:p>
          <w:p w14:paraId="2CC9452C">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97" w:name="_Toc24354"/>
            <w:bookmarkStart w:id="98" w:name="_Toc21519"/>
            <w:r>
              <w:rPr>
                <w:rFonts w:hint="default" w:ascii="Times New Roman" w:hAnsi="Times New Roman" w:cs="Times New Roman"/>
                <w:color w:val="000000" w:themeColor="text1"/>
                <w:sz w:val="24"/>
                <w:highlight w:val="none"/>
                <w14:textFill>
                  <w14:solidFill>
                    <w14:schemeClr w14:val="tx1"/>
                  </w14:solidFill>
                </w14:textFill>
              </w:rPr>
              <w:t>7、环境风险结论</w:t>
            </w:r>
            <w:bookmarkEnd w:id="97"/>
            <w:bookmarkEnd w:id="98"/>
          </w:p>
          <w:p w14:paraId="406F7F74">
            <w:pPr>
              <w:pStyle w:val="17"/>
              <w:spacing w:before="0" w:after="0" w:line="360" w:lineRule="auto"/>
              <w:ind w:right="0" w:firstLine="480" w:firstLineChars="200"/>
              <w:jc w:val="left"/>
              <w:rPr>
                <w:rFonts w:hint="default" w:ascii="Times New Roman" w:hAnsi="Times New Roman" w:cs="Times New Roman"/>
                <w:color w:val="000000" w:themeColor="text1"/>
                <w:sz w:val="24"/>
                <w:szCs w:val="24"/>
                <w:highlight w:val="none"/>
                <w:lang w:val="zh-CN"/>
                <w14:textFill>
                  <w14:solidFill>
                    <w14:schemeClr w14:val="tx1"/>
                  </w14:solidFill>
                </w14:textFill>
              </w:rPr>
            </w:pPr>
            <w:r>
              <w:rPr>
                <w:rFonts w:hint="default" w:ascii="Times New Roman" w:hAnsi="Times New Roman" w:cs="Times New Roman"/>
                <w:color w:val="000000" w:themeColor="text1"/>
                <w:sz w:val="24"/>
                <w:szCs w:val="24"/>
                <w:highlight w:val="none"/>
                <w:lang w:val="zh-CN"/>
                <w14:textFill>
                  <w14:solidFill>
                    <w14:schemeClr w14:val="tx1"/>
                  </w14:solidFill>
                </w14:textFill>
              </w:rPr>
              <w:t>根据 《建设项目环境风险评价技术导则》（HJ169-2018）分析，本项目重点关注的危险物质为油漆、油类等</w:t>
            </w:r>
            <w:r>
              <w:rPr>
                <w:rFonts w:hint="default" w:ascii="Times New Roman" w:hAnsi="Times New Roman" w:cs="Times New Roman"/>
                <w:color w:val="000000" w:themeColor="text1"/>
                <w:sz w:val="24"/>
                <w:szCs w:val="24"/>
                <w:highlight w:val="none"/>
                <w14:textFill>
                  <w14:solidFill>
                    <w14:schemeClr w14:val="tx1"/>
                  </w14:solidFill>
                </w14:textFill>
              </w:rPr>
              <w:t>有毒、</w:t>
            </w:r>
            <w:r>
              <w:rPr>
                <w:rFonts w:hint="default" w:ascii="Times New Roman" w:hAnsi="Times New Roman" w:cs="Times New Roman"/>
                <w:color w:val="000000" w:themeColor="text1"/>
                <w:sz w:val="24"/>
                <w:szCs w:val="24"/>
                <w:highlight w:val="none"/>
                <w:lang w:val="zh-CN"/>
                <w14:textFill>
                  <w14:solidFill>
                    <w14:schemeClr w14:val="tx1"/>
                  </w14:solidFill>
                </w14:textFill>
              </w:rPr>
              <w:t>易燃物质，主要危险单元为油漆库、</w:t>
            </w:r>
            <w:r>
              <w:rPr>
                <w:rFonts w:hint="default" w:ascii="Times New Roman" w:hAnsi="Times New Roman" w:cs="Times New Roman"/>
                <w:color w:val="000000" w:themeColor="text1"/>
                <w:sz w:val="24"/>
                <w:szCs w:val="24"/>
                <w:highlight w:val="none"/>
                <w14:textFill>
                  <w14:solidFill>
                    <w14:schemeClr w14:val="tx1"/>
                  </w14:solidFill>
                </w14:textFill>
              </w:rPr>
              <w:t>辅料库</w:t>
            </w:r>
            <w:r>
              <w:rPr>
                <w:rFonts w:hint="default" w:ascii="Times New Roman" w:hAnsi="Times New Roman" w:cs="Times New Roman"/>
                <w:color w:val="000000" w:themeColor="text1"/>
                <w:sz w:val="24"/>
                <w:szCs w:val="24"/>
                <w:highlight w:val="none"/>
                <w:lang w:val="zh-CN"/>
                <w14:textFill>
                  <w14:solidFill>
                    <w14:schemeClr w14:val="tx1"/>
                  </w14:solidFill>
                </w14:textFill>
              </w:rPr>
              <w:t>及危废暂存间。根据项目所在区域特性，项目对危险化学品库、危废暂存点配备有应急器材和个人防护用品，用于泄漏紧急抢险；配备泡沫灭火装置，采取硬底化防腐防渗措施和分区防渗措施；设备定期检查和维修，每年应对物料工艺设备进行腐蚀监测，对信号报警系统和通讯装置进行测试；厂内废气排放口一方面委托第三方检测公司实行监测，同时接受环保部门监督监管；操作人员要定时对车间所有动转设备进行巡回检查，如有异常情况立即请检修人员检查处理；公司应成立突发环境事件应急指挥部，配备应急物资等，制定突发环境事件应急预案。</w:t>
            </w:r>
          </w:p>
          <w:p w14:paraId="10795026">
            <w:pPr>
              <w:pStyle w:val="17"/>
              <w:spacing w:before="0" w:after="0" w:line="360" w:lineRule="auto"/>
              <w:ind w:right="0" w:firstLine="480" w:firstLineChars="200"/>
              <w:jc w:val="left"/>
              <w:rPr>
                <w:rFonts w:hint="default" w:ascii="Times New Roman" w:hAnsi="Times New Roman" w:cs="Times New Roman"/>
                <w:color w:val="000000" w:themeColor="text1"/>
                <w:sz w:val="24"/>
                <w:szCs w:val="24"/>
                <w:highlight w:val="none"/>
                <w:lang w:val="zh-CN"/>
                <w14:textFill>
                  <w14:solidFill>
                    <w14:schemeClr w14:val="tx1"/>
                  </w14:solidFill>
                </w14:textFill>
              </w:rPr>
            </w:pPr>
            <w:r>
              <w:rPr>
                <w:rFonts w:hint="default" w:ascii="Times New Roman" w:hAnsi="Times New Roman" w:cs="Times New Roman"/>
                <w:color w:val="000000" w:themeColor="text1"/>
                <w:sz w:val="24"/>
                <w:szCs w:val="24"/>
                <w:highlight w:val="none"/>
                <w:lang w:val="zh-CN"/>
                <w14:textFill>
                  <w14:solidFill>
                    <w14:schemeClr w14:val="tx1"/>
                  </w14:solidFill>
                </w14:textFill>
              </w:rPr>
              <w:t>在采取相应的风险防范和应急措施的前提下，项目环境风险是可防控。</w:t>
            </w:r>
          </w:p>
          <w:p w14:paraId="19046E77">
            <w:pPr>
              <w:pStyle w:val="17"/>
              <w:spacing w:before="0" w:after="0" w:line="360" w:lineRule="auto"/>
              <w:ind w:right="0" w:firstLine="480" w:firstLineChars="200"/>
              <w:jc w:val="left"/>
              <w:rPr>
                <w:rFonts w:hint="default" w:ascii="Times New Roman" w:hAnsi="Times New Roman" w:cs="Times New Roman"/>
                <w:color w:val="000000" w:themeColor="text1"/>
                <w:sz w:val="24"/>
                <w:szCs w:val="24"/>
                <w:highlight w:val="none"/>
                <w:lang w:val="zh-CN"/>
                <w14:textFill>
                  <w14:solidFill>
                    <w14:schemeClr w14:val="tx1"/>
                  </w14:solidFill>
                </w14:textFill>
              </w:rPr>
            </w:pPr>
            <w:r>
              <w:rPr>
                <w:rFonts w:hint="default" w:ascii="Times New Roman" w:hAnsi="Times New Roman" w:cs="Times New Roman"/>
                <w:color w:val="000000" w:themeColor="text1"/>
                <w:sz w:val="24"/>
                <w:szCs w:val="24"/>
                <w:highlight w:val="none"/>
                <w:lang w:val="zh-CN"/>
                <w14:textFill>
                  <w14:solidFill>
                    <w14:schemeClr w14:val="tx1"/>
                  </w14:solidFill>
                </w14:textFill>
              </w:rPr>
              <w:t>综上，项目环境风险简单分析内容见</w:t>
            </w:r>
            <w:r>
              <w:rPr>
                <w:rFonts w:hint="default" w:ascii="Times New Roman" w:hAnsi="Times New Roman" w:cs="Times New Roman"/>
                <w:color w:val="000000" w:themeColor="text1"/>
                <w:sz w:val="24"/>
                <w:szCs w:val="24"/>
                <w:highlight w:val="none"/>
                <w14:textFill>
                  <w14:solidFill>
                    <w14:schemeClr w14:val="tx1"/>
                  </w14:solidFill>
                </w14:textFill>
              </w:rPr>
              <w:t>下</w:t>
            </w:r>
            <w:r>
              <w:rPr>
                <w:rFonts w:hint="default" w:ascii="Times New Roman" w:hAnsi="Times New Roman" w:cs="Times New Roman"/>
                <w:color w:val="000000" w:themeColor="text1"/>
                <w:sz w:val="24"/>
                <w:szCs w:val="24"/>
                <w:highlight w:val="none"/>
                <w:lang w:val="zh-CN"/>
                <w14:textFill>
                  <w14:solidFill>
                    <w14:schemeClr w14:val="tx1"/>
                  </w14:solidFill>
                </w14:textFill>
              </w:rPr>
              <w:t>表。</w:t>
            </w:r>
          </w:p>
          <w:p w14:paraId="5A0E8898">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表4-3</w:t>
            </w:r>
            <w:r>
              <w:rPr>
                <w:rFonts w:hint="default" w:ascii="Times New Roman" w:hAnsi="Times New Roman" w:cs="Times New Roman"/>
                <w:color w:val="000000" w:themeColor="text1"/>
                <w:highlight w:val="none"/>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 xml:space="preserve"> 建设项目环境风险简单分析内容表</w:t>
            </w:r>
          </w:p>
          <w:tbl>
            <w:tblPr>
              <w:tblStyle w:val="33"/>
              <w:tblW w:w="50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01"/>
              <w:gridCol w:w="817"/>
              <w:gridCol w:w="1585"/>
              <w:gridCol w:w="848"/>
              <w:gridCol w:w="4098"/>
            </w:tblGrid>
            <w:tr w14:paraId="0F368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7A9B265A">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建设项目</w:t>
                  </w:r>
                </w:p>
                <w:p w14:paraId="2D1B438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名称</w:t>
                  </w:r>
                </w:p>
              </w:tc>
              <w:tc>
                <w:tcPr>
                  <w:tcW w:w="4297" w:type="pct"/>
                  <w:gridSpan w:val="4"/>
                  <w:vAlign w:val="center"/>
                </w:tcPr>
                <w:p w14:paraId="09FB77F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年产7000吨工程机械结构件改扩建及喷漆废气深度治理项目</w:t>
                  </w:r>
                </w:p>
              </w:tc>
            </w:tr>
            <w:tr w14:paraId="2EDCA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38DB181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建设地点</w:t>
                  </w:r>
                </w:p>
              </w:tc>
              <w:tc>
                <w:tcPr>
                  <w:tcW w:w="478" w:type="pct"/>
                  <w:vAlign w:val="center"/>
                </w:tcPr>
                <w:p w14:paraId="4838DC83">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湖南省</w:t>
                  </w:r>
                </w:p>
              </w:tc>
              <w:tc>
                <w:tcPr>
                  <w:tcW w:w="927" w:type="pct"/>
                  <w:vAlign w:val="center"/>
                </w:tcPr>
                <w:p w14:paraId="48706E79">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衡阳市</w:t>
                  </w:r>
                </w:p>
              </w:tc>
              <w:tc>
                <w:tcPr>
                  <w:tcW w:w="496" w:type="pct"/>
                  <w:vAlign w:val="center"/>
                </w:tcPr>
                <w:p w14:paraId="1C4AEC7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衡东县</w:t>
                  </w:r>
                </w:p>
              </w:tc>
              <w:tc>
                <w:tcPr>
                  <w:tcW w:w="2395" w:type="pct"/>
                  <w:vAlign w:val="center"/>
                </w:tcPr>
                <w:p w14:paraId="015ED9F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大浦镇宁国路湖南朝阳机电股份有限公司内</w:t>
                  </w:r>
                </w:p>
              </w:tc>
            </w:tr>
            <w:tr w14:paraId="2F243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61851630">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地理坐标</w:t>
                  </w:r>
                </w:p>
              </w:tc>
              <w:tc>
                <w:tcPr>
                  <w:tcW w:w="478" w:type="pct"/>
                  <w:vAlign w:val="center"/>
                </w:tcPr>
                <w:p w14:paraId="49B11A8C">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经度</w:t>
                  </w:r>
                </w:p>
              </w:tc>
              <w:tc>
                <w:tcPr>
                  <w:tcW w:w="927" w:type="pct"/>
                  <w:vAlign w:val="center"/>
                </w:tcPr>
                <w:p w14:paraId="2A544C9F">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112</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49</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分00.827</w:t>
                  </w:r>
                  <w:r>
                    <w:rPr>
                      <w:rFonts w:hint="default" w:ascii="Times New Roman" w:hAnsi="Times New Roman" w:cs="Times New Roman"/>
                      <w:color w:val="000000" w:themeColor="text1"/>
                      <w:highlight w:val="none"/>
                      <w14:textFill>
                        <w14:solidFill>
                          <w14:schemeClr w14:val="tx1"/>
                        </w14:solidFill>
                      </w14:textFill>
                    </w:rPr>
                    <w:t>″</w:t>
                  </w:r>
                </w:p>
              </w:tc>
              <w:tc>
                <w:tcPr>
                  <w:tcW w:w="496" w:type="pct"/>
                  <w:vAlign w:val="center"/>
                </w:tcPr>
                <w:p w14:paraId="7F0C287B">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纬度</w:t>
                  </w:r>
                </w:p>
              </w:tc>
              <w:tc>
                <w:tcPr>
                  <w:tcW w:w="2395" w:type="pct"/>
                  <w:vAlign w:val="center"/>
                </w:tcPr>
                <w:p w14:paraId="1079E3C8">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26°</w:t>
                  </w:r>
                  <w:r>
                    <w:rPr>
                      <w:rFonts w:hint="default" w:ascii="Times New Roman" w:hAnsi="Times New Roman" w:cs="Times New Roman"/>
                      <w:color w:val="000000" w:themeColor="text1"/>
                      <w:highlight w:val="none"/>
                      <w14:textFill>
                        <w14:solidFill>
                          <w14:schemeClr w14:val="tx1"/>
                        </w14:solidFill>
                      </w14:textFill>
                    </w:rPr>
                    <w:t>59</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42.749</w:t>
                  </w:r>
                  <w:r>
                    <w:rPr>
                      <w:rFonts w:hint="default" w:ascii="Times New Roman" w:hAnsi="Times New Roman" w:cs="Times New Roman"/>
                      <w:color w:val="000000" w:themeColor="text1"/>
                      <w:highlight w:val="none"/>
                      <w14:textFill>
                        <w14:solidFill>
                          <w14:schemeClr w14:val="tx1"/>
                        </w14:solidFill>
                      </w14:textFill>
                    </w:rPr>
                    <w:t>″</w:t>
                  </w:r>
                </w:p>
              </w:tc>
            </w:tr>
            <w:tr w14:paraId="21E5A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1B1681FD">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主要危险物质及分布</w:t>
                  </w:r>
                </w:p>
              </w:tc>
              <w:tc>
                <w:tcPr>
                  <w:tcW w:w="4297" w:type="pct"/>
                  <w:gridSpan w:val="4"/>
                  <w:vAlign w:val="center"/>
                </w:tcPr>
                <w:p w14:paraId="49858254">
                  <w:pPr>
                    <w:pStyle w:val="95"/>
                    <w:spacing w:after="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油漆位于化学品原料仓库，油类位于辅材仓库，危险固废位于危废暂存间。</w:t>
                  </w:r>
                </w:p>
              </w:tc>
            </w:tr>
            <w:tr w14:paraId="5F043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03019405">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环境影响途径及危害后果</w:t>
                  </w:r>
                </w:p>
              </w:tc>
              <w:tc>
                <w:tcPr>
                  <w:tcW w:w="4297" w:type="pct"/>
                  <w:gridSpan w:val="4"/>
                  <w:vAlign w:val="center"/>
                </w:tcPr>
                <w:p w14:paraId="6E982D06">
                  <w:pPr>
                    <w:pStyle w:val="95"/>
                    <w:spacing w:after="0"/>
                    <w:jc w:val="left"/>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本项目所使用原料油漆、油类物质等属易燃物品，在意外情况下发生火灾，导致次生/伴生污染物排放，会对厂区周边的大气、水体造成污染；装卸或存储过程中某些危险废物发生泄漏可能通过下水道排入污水管网导致水体污染，或在危险废弃物转移过程中可能由于恶劣天气影响，导致雨水渗入。</w:t>
                  </w:r>
                </w:p>
              </w:tc>
            </w:tr>
            <w:tr w14:paraId="353B8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02" w:type="pct"/>
                  <w:vAlign w:val="center"/>
                </w:tcPr>
                <w:p w14:paraId="4070C1BE">
                  <w:pPr>
                    <w:pStyle w:val="95"/>
                    <w:spacing w:after="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风险防范措施要求</w:t>
                  </w:r>
                </w:p>
              </w:tc>
              <w:tc>
                <w:tcPr>
                  <w:tcW w:w="4297" w:type="pct"/>
                  <w:gridSpan w:val="4"/>
                  <w:vAlign w:val="center"/>
                </w:tcPr>
                <w:p w14:paraId="40C57495">
                  <w:pPr>
                    <w:widowControl/>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①消防安全防范措施：项目建设科学规划、合理布置，严格执行防火安全设施规范；生产车间内外设有完善的消防设施，包括消防栓、消防管道、灭火器等；</w:t>
                  </w:r>
                </w:p>
                <w:p w14:paraId="72165ACF">
                  <w:pPr>
                    <w:widowControl/>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②规范液态物料的装卸、搬运、投料等操作，防止倾倒、破损导致的泄漏事故发生；规范操作、加强设备管线维护管理，生产设备和储存容器尽可能密闭操作。</w:t>
                  </w:r>
                </w:p>
                <w:p w14:paraId="5EA69981">
                  <w:pPr>
                    <w:widowControl/>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③在生产区、液态物料储存区域车间地面建设防渗及事故废水截流措施：区域地面、墙脚等设有防渗措施，区域建设导流槽、地势低处建设收集池，可以收集事故废水，防止事故废水溢流甚至流出车间外。</w:t>
                  </w:r>
                </w:p>
                <w:p w14:paraId="385BCFB1">
                  <w:pPr>
                    <w:widowControl/>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④严格生产管理，提高操作人员素质和水平，以减少事故的发生。企业领导要把安全生产、防范事故工作放在第一位，严格安全生产管理，经常检查安全生产措施，发现问题及时解决，消除事故隐患。强化生产操作人员的安全培训教育，增强全体职工的责任感，使生产操作人员熟记各种工艺控制参数及发生事故时应急处理措施。</w:t>
                  </w:r>
                </w:p>
              </w:tc>
            </w:tr>
            <w:tr w14:paraId="64031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5"/>
                  <w:vAlign w:val="center"/>
                </w:tcPr>
                <w:p w14:paraId="48AB47B5">
                  <w:pPr>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填表说明（列出项目相关信息及评价说明）：</w:t>
                  </w:r>
                </w:p>
                <w:p w14:paraId="6DEACE8E">
                  <w:pPr>
                    <w:adjustRightInd w:val="0"/>
                    <w:snapToGrid w:val="0"/>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本项目是金属表面处理项目，本项目危险物质主要为各类油漆、油类及危险固废。本项目危险物质总量与其临界量比值Q&lt;1，环境风险潜势为Ⅰ，本项目在采取评价中提出的风险事故防范措施后，能有效预防事故的发生，可将项目风险降至最低程度，不会对敏感目标造成影响。因此，本项目环境风险是可防控的。</w:t>
                  </w:r>
                </w:p>
              </w:tc>
            </w:tr>
          </w:tbl>
          <w:p w14:paraId="664A23C0">
            <w:pPr>
              <w:adjustRightInd w:val="0"/>
              <w:snapToGrid w:val="0"/>
              <w:rPr>
                <w:rFonts w:hint="default" w:ascii="Times New Roman" w:hAnsi="Times New Roman" w:cs="Times New Roman"/>
                <w:bCs/>
                <w:color w:val="000000" w:themeColor="text1"/>
                <w:spacing w:val="-10"/>
                <w:szCs w:val="21"/>
                <w:highlight w:val="none"/>
                <w14:textFill>
                  <w14:solidFill>
                    <w14:schemeClr w14:val="tx1"/>
                  </w14:solidFill>
                </w14:textFill>
              </w:rPr>
            </w:pPr>
          </w:p>
          <w:p w14:paraId="454A5D68">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99" w:name="_Toc6222"/>
            <w:bookmarkStart w:id="100" w:name="_Toc31919"/>
            <w:bookmarkStart w:id="101" w:name="_Toc26070"/>
            <w:bookmarkStart w:id="102" w:name="_Toc32177"/>
            <w:r>
              <w:rPr>
                <w:rFonts w:hint="default" w:ascii="Times New Roman" w:hAnsi="Times New Roman" w:cs="Times New Roman"/>
                <w:color w:val="000000" w:themeColor="text1"/>
                <w:sz w:val="24"/>
                <w:highlight w:val="none"/>
                <w14:textFill>
                  <w14:solidFill>
                    <w14:schemeClr w14:val="tx1"/>
                  </w14:solidFill>
                </w14:textFill>
              </w:rPr>
              <w:t>六、环境监测计划</w:t>
            </w:r>
            <w:bookmarkEnd w:id="99"/>
            <w:bookmarkEnd w:id="100"/>
            <w:bookmarkEnd w:id="101"/>
            <w:bookmarkEnd w:id="102"/>
          </w:p>
          <w:p w14:paraId="50EE44C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对生产过程中产生的废气、噪声进行监控，具体监测工作建议委托有资质的环境监测机构完成。根据本项目实际情况，并参照《环境监测技术规范》、</w:t>
            </w:r>
            <w:r>
              <w:rPr>
                <w:rFonts w:hint="default" w:ascii="Times New Roman" w:hAnsi="Times New Roman" w:cs="Times New Roman"/>
                <w:color w:val="000000" w:themeColor="text1"/>
                <w:kern w:val="0"/>
                <w:sz w:val="24"/>
                <w:highlight w:val="none"/>
                <w:lang w:bidi="ar"/>
                <w14:textFill>
                  <w14:solidFill>
                    <w14:schemeClr w14:val="tx1"/>
                  </w14:solidFill>
                </w14:textFill>
              </w:rPr>
              <w:t>《排污许可证申请与核发技术规范 铁路、船舶、航空航天和其他运输设备制造业》（HJ 1124-2020）</w:t>
            </w:r>
            <w:r>
              <w:rPr>
                <w:rFonts w:hint="default" w:ascii="Times New Roman" w:hAnsi="Times New Roman" w:cs="Times New Roman"/>
                <w:color w:val="000000" w:themeColor="text1"/>
                <w:sz w:val="24"/>
                <w:highlight w:val="none"/>
                <w14:textFill>
                  <w14:solidFill>
                    <w14:schemeClr w14:val="tx1"/>
                  </w14:solidFill>
                </w14:textFill>
              </w:rPr>
              <w:t>、《排污单位自行监测技术指南 涂装》（HJ 1086-2020）、《工业企业土壤和地下水自行监测技术指南（试行）》（HJ1209-2021）等相关要求，本项目属于重点排污单位简化管理。</w:t>
            </w:r>
          </w:p>
          <w:p w14:paraId="5FD0A87B">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污染源监测具体见表4-</w:t>
            </w:r>
            <w:r>
              <w:rPr>
                <w:rFonts w:hint="default" w:ascii="Times New Roman" w:hAnsi="Times New Roman" w:cs="Times New Roman"/>
                <w:color w:val="000000" w:themeColor="text1"/>
                <w:sz w:val="24"/>
                <w:highlight w:val="none"/>
                <w14:textFill>
                  <w14:solidFill>
                    <w14:schemeClr w14:val="tx1"/>
                  </w14:solidFill>
                </w14:textFill>
              </w:rPr>
              <w:t>32</w:t>
            </w:r>
            <w:r>
              <w:rPr>
                <w:rFonts w:hint="default" w:ascii="Times New Roman" w:hAnsi="Times New Roman" w:cs="Times New Roman"/>
                <w:color w:val="000000" w:themeColor="text1"/>
                <w:sz w:val="24"/>
                <w:highlight w:val="none"/>
                <w14:textFill>
                  <w14:solidFill>
                    <w14:schemeClr w14:val="tx1"/>
                  </w14:solidFill>
                </w14:textFill>
              </w:rPr>
              <w:t>。</w:t>
            </w:r>
          </w:p>
          <w:p w14:paraId="62DC6700">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表4-</w:t>
            </w:r>
            <w:r>
              <w:rPr>
                <w:rFonts w:hint="default" w:ascii="Times New Roman" w:hAnsi="Times New Roman" w:cs="Times New Roman"/>
                <w:color w:val="000000" w:themeColor="text1"/>
                <w:highlight w:val="none"/>
                <w14:textFill>
                  <w14:solidFill>
                    <w14:schemeClr w14:val="tx1"/>
                  </w14:solidFill>
                </w14:textFill>
              </w:rPr>
              <w:t>32</w:t>
            </w:r>
            <w:r>
              <w:rPr>
                <w:rFonts w:hint="default" w:ascii="Times New Roman" w:hAnsi="Times New Roman" w:cs="Times New Roman"/>
                <w:color w:val="000000" w:themeColor="text1"/>
                <w:highlight w:val="none"/>
                <w14:textFill>
                  <w14:solidFill>
                    <w14:schemeClr w14:val="tx1"/>
                  </w14:solidFill>
                </w14:textFill>
              </w:rPr>
              <w:t xml:space="preserve"> 污染源监测一览表</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697"/>
              <w:gridCol w:w="699"/>
              <w:gridCol w:w="1553"/>
              <w:gridCol w:w="1123"/>
              <w:gridCol w:w="2624"/>
            </w:tblGrid>
            <w:tr w14:paraId="223AC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tcBorders>
                    <w:top w:val="single" w:color="auto" w:sz="4" w:space="0"/>
                    <w:left w:val="single" w:color="auto" w:sz="4" w:space="0"/>
                    <w:bottom w:val="single" w:color="auto" w:sz="4" w:space="0"/>
                    <w:right w:val="single" w:color="auto" w:sz="4" w:space="0"/>
                  </w:tcBorders>
                  <w:vAlign w:val="center"/>
                </w:tcPr>
                <w:p w14:paraId="3C684F8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污染类型</w:t>
                  </w:r>
                </w:p>
              </w:tc>
              <w:tc>
                <w:tcPr>
                  <w:tcW w:w="999" w:type="pct"/>
                  <w:vAlign w:val="center"/>
                </w:tcPr>
                <w:p w14:paraId="08C0CB4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监测点位</w:t>
                  </w:r>
                </w:p>
              </w:tc>
              <w:tc>
                <w:tcPr>
                  <w:tcW w:w="413" w:type="pct"/>
                  <w:vAlign w:val="center"/>
                </w:tcPr>
                <w:p w14:paraId="67437B0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排放形式</w:t>
                  </w:r>
                </w:p>
              </w:tc>
              <w:tc>
                <w:tcPr>
                  <w:tcW w:w="916" w:type="pct"/>
                  <w:vAlign w:val="center"/>
                </w:tcPr>
                <w:p w14:paraId="22D458C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监测因子</w:t>
                  </w:r>
                </w:p>
              </w:tc>
              <w:tc>
                <w:tcPr>
                  <w:tcW w:w="663" w:type="pct"/>
                  <w:vAlign w:val="center"/>
                </w:tcPr>
                <w:p w14:paraId="475F50F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监测频次</w:t>
                  </w:r>
                </w:p>
              </w:tc>
              <w:tc>
                <w:tcPr>
                  <w:tcW w:w="1550" w:type="pct"/>
                  <w:vAlign w:val="center"/>
                </w:tcPr>
                <w:p w14:paraId="2EB2F3A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执行排放标准</w:t>
                  </w:r>
                </w:p>
              </w:tc>
            </w:tr>
            <w:tr w14:paraId="1ACEA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restart"/>
                  <w:tcBorders>
                    <w:top w:val="single" w:color="auto" w:sz="4" w:space="0"/>
                    <w:left w:val="single" w:color="auto" w:sz="4" w:space="0"/>
                    <w:right w:val="single" w:color="auto" w:sz="4" w:space="0"/>
                  </w:tcBorders>
                  <w:vAlign w:val="center"/>
                </w:tcPr>
                <w:p w14:paraId="43FDC40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废气</w:t>
                  </w:r>
                </w:p>
              </w:tc>
              <w:tc>
                <w:tcPr>
                  <w:tcW w:w="999" w:type="pct"/>
                  <w:vAlign w:val="center"/>
                </w:tcPr>
                <w:p w14:paraId="7956D4B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等离子切割下料废气DA001</w:t>
                  </w:r>
                </w:p>
              </w:tc>
              <w:tc>
                <w:tcPr>
                  <w:tcW w:w="413" w:type="pct"/>
                  <w:vMerge w:val="restart"/>
                  <w:vAlign w:val="center"/>
                </w:tcPr>
                <w:p w14:paraId="132BD1A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有组织</w:t>
                  </w:r>
                </w:p>
              </w:tc>
              <w:tc>
                <w:tcPr>
                  <w:tcW w:w="916" w:type="pct"/>
                  <w:vMerge w:val="restart"/>
                  <w:vAlign w:val="center"/>
                </w:tcPr>
                <w:p w14:paraId="131653F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w:t>
                  </w:r>
                </w:p>
              </w:tc>
              <w:tc>
                <w:tcPr>
                  <w:tcW w:w="663" w:type="pct"/>
                  <w:vMerge w:val="restart"/>
                  <w:vAlign w:val="center"/>
                </w:tcPr>
                <w:p w14:paraId="5AA057A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1次/年</w:t>
                  </w:r>
                </w:p>
              </w:tc>
              <w:tc>
                <w:tcPr>
                  <w:tcW w:w="1550" w:type="pct"/>
                  <w:vMerge w:val="restart"/>
                  <w:vAlign w:val="center"/>
                </w:tcPr>
                <w:p w14:paraId="544FF74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《大气污染物综合排放标准》（GB16297-1996）表2标准</w:t>
                  </w:r>
                </w:p>
              </w:tc>
            </w:tr>
            <w:tr w14:paraId="4102C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right w:val="single" w:color="auto" w:sz="4" w:space="0"/>
                  </w:tcBorders>
                  <w:vAlign w:val="center"/>
                </w:tcPr>
                <w:p w14:paraId="04CCD35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40D3C41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抛丸废气</w:t>
                  </w:r>
                </w:p>
                <w:p w14:paraId="17173F6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DA002</w:t>
                  </w:r>
                </w:p>
              </w:tc>
              <w:tc>
                <w:tcPr>
                  <w:tcW w:w="413" w:type="pct"/>
                  <w:vMerge w:val="continue"/>
                  <w:vAlign w:val="center"/>
                </w:tcPr>
                <w:p w14:paraId="71E885C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16" w:type="pct"/>
                  <w:vMerge w:val="continue"/>
                  <w:vAlign w:val="center"/>
                </w:tcPr>
                <w:p w14:paraId="0061B71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663" w:type="pct"/>
                  <w:vMerge w:val="continue"/>
                  <w:vAlign w:val="center"/>
                </w:tcPr>
                <w:p w14:paraId="3FBA521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1550" w:type="pct"/>
                  <w:vMerge w:val="continue"/>
                  <w:vAlign w:val="center"/>
                </w:tcPr>
                <w:p w14:paraId="69ECEB11">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r>
            <w:tr w14:paraId="2E54D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right w:val="single" w:color="auto" w:sz="4" w:space="0"/>
                  </w:tcBorders>
                  <w:vAlign w:val="center"/>
                </w:tcPr>
                <w:p w14:paraId="2377EEA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4B0C35A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喷漆生产线挥发性有机废气排气筒排口DA00</w:t>
                  </w:r>
                  <w:r>
                    <w:rPr>
                      <w:rFonts w:hint="default" w:ascii="Times New Roman" w:hAnsi="Times New Roman" w:cs="Times New Roman"/>
                      <w:bCs/>
                      <w:color w:val="000000" w:themeColor="text1"/>
                      <w:szCs w:val="21"/>
                      <w:highlight w:val="none"/>
                      <w14:textFill>
                        <w14:solidFill>
                          <w14:schemeClr w14:val="tx1"/>
                        </w14:solidFill>
                      </w14:textFill>
                    </w:rPr>
                    <w:t>3</w:t>
                  </w:r>
                </w:p>
              </w:tc>
              <w:tc>
                <w:tcPr>
                  <w:tcW w:w="413" w:type="pct"/>
                  <w:vAlign w:val="center"/>
                </w:tcPr>
                <w:p w14:paraId="2E72C9C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有组织</w:t>
                  </w:r>
                </w:p>
              </w:tc>
              <w:tc>
                <w:tcPr>
                  <w:tcW w:w="916" w:type="pct"/>
                  <w:vAlign w:val="center"/>
                </w:tcPr>
                <w:p w14:paraId="04B34158">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颗粒物、VOCs、二甲苯</w:t>
                  </w:r>
                </w:p>
              </w:tc>
              <w:tc>
                <w:tcPr>
                  <w:tcW w:w="663" w:type="pct"/>
                  <w:vAlign w:val="center"/>
                </w:tcPr>
                <w:p w14:paraId="6BDE77F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1次/年</w:t>
                  </w:r>
                </w:p>
              </w:tc>
              <w:tc>
                <w:tcPr>
                  <w:tcW w:w="1550" w:type="pct"/>
                  <w:vAlign w:val="center"/>
                </w:tcPr>
                <w:p w14:paraId="50AD95B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《表面涂装（汽车制造及维修）挥发性有机物、镍排放标准》（DB43/1356-2017）有组织排放浓度限值执行表1要求，无组织排放浓度限值执行表3标准要求</w:t>
                  </w:r>
                </w:p>
              </w:tc>
            </w:tr>
            <w:tr w14:paraId="5E811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right w:val="single" w:color="auto" w:sz="4" w:space="0"/>
                  </w:tcBorders>
                  <w:vAlign w:val="center"/>
                </w:tcPr>
                <w:p w14:paraId="072846C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Merge w:val="restart"/>
                  <w:vAlign w:val="center"/>
                </w:tcPr>
                <w:p w14:paraId="2F3062F7">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厂界</w:t>
                  </w:r>
                </w:p>
              </w:tc>
              <w:tc>
                <w:tcPr>
                  <w:tcW w:w="413" w:type="pct"/>
                  <w:vAlign w:val="center"/>
                </w:tcPr>
                <w:p w14:paraId="6E515E51">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6" w:type="pct"/>
                  <w:vAlign w:val="center"/>
                </w:tcPr>
                <w:p w14:paraId="429C394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VOCs</w:t>
                  </w:r>
                </w:p>
                <w:p w14:paraId="7E4ED36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二甲苯</w:t>
                  </w:r>
                </w:p>
              </w:tc>
              <w:tc>
                <w:tcPr>
                  <w:tcW w:w="663" w:type="pct"/>
                  <w:vAlign w:val="center"/>
                </w:tcPr>
                <w:p w14:paraId="3111ECFE">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17BD916F">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《表面涂装（汽车制造及维修）挥发性有机物、镍排放标准》（DB43/1356-2017）无组织排放浓度限值执行表3标准要求</w:t>
                  </w:r>
                </w:p>
              </w:tc>
            </w:tr>
            <w:tr w14:paraId="5F65F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right w:val="single" w:color="auto" w:sz="4" w:space="0"/>
                  </w:tcBorders>
                  <w:vAlign w:val="center"/>
                </w:tcPr>
                <w:p w14:paraId="1A1838D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Merge w:val="continue"/>
                  <w:vAlign w:val="center"/>
                </w:tcPr>
                <w:p w14:paraId="2E48AA3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413" w:type="pct"/>
                  <w:vAlign w:val="center"/>
                </w:tcPr>
                <w:p w14:paraId="34B66588">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6" w:type="pct"/>
                  <w:vAlign w:val="center"/>
                </w:tcPr>
                <w:p w14:paraId="5461E7A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颗粒物</w:t>
                  </w:r>
                </w:p>
              </w:tc>
              <w:tc>
                <w:tcPr>
                  <w:tcW w:w="663" w:type="pct"/>
                  <w:vAlign w:val="center"/>
                </w:tcPr>
                <w:p w14:paraId="4B01A67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195B520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《大气污染物综合排放标准》（GB16297-1996）表2标准</w:t>
                  </w:r>
                </w:p>
              </w:tc>
            </w:tr>
            <w:tr w14:paraId="14691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right w:val="single" w:color="auto" w:sz="4" w:space="0"/>
                  </w:tcBorders>
                  <w:vAlign w:val="center"/>
                </w:tcPr>
                <w:p w14:paraId="6560359F">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999" w:type="pct"/>
                  <w:vAlign w:val="center"/>
                </w:tcPr>
                <w:p w14:paraId="36F5FE09">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厂房内</w:t>
                  </w:r>
                </w:p>
              </w:tc>
              <w:tc>
                <w:tcPr>
                  <w:tcW w:w="413" w:type="pct"/>
                  <w:vAlign w:val="center"/>
                </w:tcPr>
                <w:p w14:paraId="161F80F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无组织</w:t>
                  </w:r>
                </w:p>
              </w:tc>
              <w:tc>
                <w:tcPr>
                  <w:tcW w:w="916" w:type="pct"/>
                  <w:vAlign w:val="center"/>
                </w:tcPr>
                <w:p w14:paraId="51A3CB4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VOCs</w:t>
                  </w:r>
                </w:p>
                <w:p w14:paraId="13B9BE6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p>
              </w:tc>
              <w:tc>
                <w:tcPr>
                  <w:tcW w:w="663" w:type="pct"/>
                  <w:vAlign w:val="center"/>
                </w:tcPr>
                <w:p w14:paraId="57C95E7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1次/半年</w:t>
                  </w:r>
                </w:p>
              </w:tc>
              <w:tc>
                <w:tcPr>
                  <w:tcW w:w="1550" w:type="pct"/>
                  <w:vAlign w:val="center"/>
                </w:tcPr>
                <w:p w14:paraId="6338C84D">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1"/>
                      <w:szCs w:val="21"/>
                      <w:highlight w:val="none"/>
                      <w14:textFill>
                        <w14:solidFill>
                          <w14:schemeClr w14:val="tx1"/>
                        </w14:solidFill>
                      </w14:textFill>
                    </w:rPr>
                    <w:t>《挥</w:t>
                  </w:r>
                  <w:r>
                    <w:rPr>
                      <w:rFonts w:hint="default" w:ascii="Times New Roman" w:hAnsi="Times New Roman" w:cs="Times New Roman"/>
                      <w:color w:val="000000" w:themeColor="text1"/>
                      <w:spacing w:val="-2"/>
                      <w:szCs w:val="21"/>
                      <w:highlight w:val="none"/>
                      <w14:textFill>
                        <w14:solidFill>
                          <w14:schemeClr w14:val="tx1"/>
                        </w14:solidFill>
                      </w14:textFill>
                    </w:rPr>
                    <w:t>发性有机物无组织排放控制标准》（GB37822-2019）附</w:t>
                  </w:r>
                  <w:r>
                    <w:rPr>
                      <w:rFonts w:hint="default" w:ascii="Times New Roman" w:hAnsi="Times New Roman" w:cs="Times New Roman"/>
                      <w:color w:val="000000" w:themeColor="text1"/>
                      <w:spacing w:val="-3"/>
                      <w:szCs w:val="21"/>
                      <w:highlight w:val="none"/>
                      <w14:textFill>
                        <w14:solidFill>
                          <w14:schemeClr w14:val="tx1"/>
                        </w14:solidFill>
                      </w14:textFill>
                    </w:rPr>
                    <w:t>录A</w:t>
                  </w:r>
                </w:p>
              </w:tc>
            </w:tr>
            <w:tr w14:paraId="04CB4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tcBorders>
                    <w:left w:val="single" w:color="auto" w:sz="4" w:space="0"/>
                    <w:right w:val="single" w:color="auto" w:sz="4" w:space="0"/>
                  </w:tcBorders>
                  <w:vAlign w:val="center"/>
                </w:tcPr>
                <w:p w14:paraId="1E5B6C33">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噪声</w:t>
                  </w:r>
                </w:p>
              </w:tc>
              <w:tc>
                <w:tcPr>
                  <w:tcW w:w="999" w:type="pct"/>
                  <w:vAlign w:val="center"/>
                </w:tcPr>
                <w:p w14:paraId="3452ADA1">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四周厂界</w:t>
                  </w:r>
                </w:p>
              </w:tc>
              <w:tc>
                <w:tcPr>
                  <w:tcW w:w="1330" w:type="pct"/>
                  <w:gridSpan w:val="2"/>
                  <w:vAlign w:val="center"/>
                </w:tcPr>
                <w:p w14:paraId="62DBCFCE">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昼、夜等效连续 A 声级</w:t>
                  </w:r>
                </w:p>
              </w:tc>
              <w:tc>
                <w:tcPr>
                  <w:tcW w:w="663" w:type="pct"/>
                  <w:tcBorders>
                    <w:top w:val="single" w:color="auto" w:sz="4" w:space="0"/>
                    <w:left w:val="single" w:color="auto" w:sz="4" w:space="0"/>
                    <w:right w:val="single" w:color="auto" w:sz="4" w:space="0"/>
                  </w:tcBorders>
                  <w:vAlign w:val="center"/>
                </w:tcPr>
                <w:p w14:paraId="25BFF545">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1次/季</w:t>
                  </w:r>
                </w:p>
              </w:tc>
              <w:tc>
                <w:tcPr>
                  <w:tcW w:w="1550" w:type="pct"/>
                  <w:vAlign w:val="center"/>
                </w:tcPr>
                <w:p w14:paraId="50310CF7">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《工业企业厂界环境噪声排放标准》（GB12348-2008）3类标准</w:t>
                  </w:r>
                </w:p>
              </w:tc>
            </w:tr>
            <w:tr w14:paraId="224EB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restart"/>
                  <w:tcBorders>
                    <w:left w:val="single" w:color="auto" w:sz="4" w:space="0"/>
                    <w:right w:val="single" w:color="auto" w:sz="4" w:space="0"/>
                  </w:tcBorders>
                  <w:vAlign w:val="center"/>
                </w:tcPr>
                <w:p w14:paraId="04CB17F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固废</w:t>
                  </w:r>
                </w:p>
              </w:tc>
              <w:tc>
                <w:tcPr>
                  <w:tcW w:w="1002" w:type="pct"/>
                  <w:vAlign w:val="center"/>
                </w:tcPr>
                <w:p w14:paraId="7E62012A">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一般工业固废</w:t>
                  </w:r>
                </w:p>
              </w:tc>
              <w:tc>
                <w:tcPr>
                  <w:tcW w:w="3541" w:type="pct"/>
                  <w:gridSpan w:val="4"/>
                  <w:vAlign w:val="center"/>
                </w:tcPr>
                <w:p w14:paraId="10D3A431">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按日记录一般工业固体废物和危险废物产生、贮存、转移、利用的处置情况，并通过全国固体废物管理信息系统进行填报</w:t>
                  </w:r>
                </w:p>
              </w:tc>
            </w:tr>
            <w:tr w14:paraId="45B65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5" w:type="pct"/>
                  <w:vMerge w:val="continue"/>
                  <w:tcBorders>
                    <w:left w:val="single" w:color="auto" w:sz="4" w:space="0"/>
                    <w:bottom w:val="single" w:color="auto" w:sz="4" w:space="0"/>
                    <w:right w:val="single" w:color="auto" w:sz="4" w:space="0"/>
                  </w:tcBorders>
                  <w:vAlign w:val="center"/>
                </w:tcPr>
                <w:p w14:paraId="3FC51B7F">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002" w:type="pct"/>
                  <w:vAlign w:val="center"/>
                </w:tcPr>
                <w:p w14:paraId="07BCAE22">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危险废物</w:t>
                  </w:r>
                </w:p>
              </w:tc>
              <w:tc>
                <w:tcPr>
                  <w:tcW w:w="3541" w:type="pct"/>
                  <w:gridSpan w:val="4"/>
                  <w:vAlign w:val="center"/>
                </w:tcPr>
                <w:p w14:paraId="6C70FD67">
                  <w:pPr>
                    <w:pStyle w:val="58"/>
                    <w:spacing w:before="24" w:after="24"/>
                    <w:rPr>
                      <w:rFonts w:hint="default" w:ascii="Times New Roman" w:hAnsi="Times New Roman" w:cs="Times New Roman"/>
                      <w:color w:val="000000" w:themeColor="text1"/>
                      <w:kern w:val="2"/>
                      <w:highlight w:val="none"/>
                      <w14:textFill>
                        <w14:solidFill>
                          <w14:schemeClr w14:val="tx1"/>
                        </w14:solidFill>
                      </w14:textFill>
                    </w:rPr>
                  </w:pPr>
                  <w:r>
                    <w:rPr>
                      <w:rFonts w:hint="default" w:ascii="Times New Roman" w:hAnsi="Times New Roman" w:cs="Times New Roman"/>
                      <w:color w:val="000000" w:themeColor="text1"/>
                      <w:kern w:val="2"/>
                      <w:highlight w:val="none"/>
                      <w14:textFill>
                        <w14:solidFill>
                          <w14:schemeClr w14:val="tx1"/>
                        </w14:solidFill>
                      </w14:textFill>
                    </w:rPr>
                    <w:t>按照危险废物管理的相关要求，按日记录危险废物的产生量、综合利用量、处置量、贮存量及其具体去向</w:t>
                  </w:r>
                </w:p>
              </w:tc>
            </w:tr>
          </w:tbl>
          <w:p w14:paraId="7FDA18D9">
            <w:pPr>
              <w:pStyle w:val="58"/>
              <w:spacing w:before="24" w:after="24"/>
              <w:rPr>
                <w:rFonts w:hint="default" w:ascii="Times New Roman" w:hAnsi="Times New Roman" w:cs="Times New Roman"/>
                <w:color w:val="000000" w:themeColor="text1"/>
                <w:sz w:val="10"/>
                <w:szCs w:val="10"/>
                <w:highlight w:val="none"/>
                <w14:textFill>
                  <w14:solidFill>
                    <w14:schemeClr w14:val="tx1"/>
                  </w14:solidFill>
                </w14:textFill>
              </w:rPr>
            </w:pPr>
          </w:p>
          <w:p w14:paraId="6CF848A5">
            <w:pPr>
              <w:pStyle w:val="5"/>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bookmarkStart w:id="103" w:name="_Toc25786"/>
            <w:bookmarkStart w:id="104" w:name="_Toc29240"/>
            <w:r>
              <w:rPr>
                <w:rFonts w:hint="default" w:ascii="Times New Roman" w:hAnsi="Times New Roman" w:cs="Times New Roman"/>
                <w:color w:val="000000" w:themeColor="text1"/>
                <w:sz w:val="24"/>
                <w:highlight w:val="none"/>
                <w14:textFill>
                  <w14:solidFill>
                    <w14:schemeClr w14:val="tx1"/>
                  </w14:solidFill>
                </w14:textFill>
              </w:rPr>
              <w:t>七、项目竣工环保验收</w:t>
            </w:r>
            <w:bookmarkEnd w:id="103"/>
            <w:bookmarkEnd w:id="104"/>
          </w:p>
          <w:p w14:paraId="0C07E00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项目在正式营运前，必须向负责审批的环保行政主管部门提交“环保竣工验收报告”，说明设施运行情况，治理的效果，达到的标准。项目验收合格后，方可正式投入生产使用。</w:t>
            </w:r>
          </w:p>
          <w:p w14:paraId="252AFAD0">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建设项目竣工环境保护验收暂行办法》（国环规环评[2017]4号第十二条：除需要取得排污许可证的水和大气污染防治设施外，其他环境保护设施的验收期限一般不超过3个月。需要对该类环境保护设施进行调试或者整改的，验收期限可以适当延期，但最长不超过12个月。验收期限是指自建设项目环境保护设施竣工之日起至建设单位向社会公开验收报告之日止的时间。</w:t>
            </w:r>
          </w:p>
          <w:p w14:paraId="7CE4B7DA">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根据本项目污染源产生及排放情况和污染防治措施，提出本项目环境保护设施竣工验收内容，见表4-</w:t>
            </w:r>
            <w:r>
              <w:rPr>
                <w:rFonts w:hint="default" w:ascii="Times New Roman" w:hAnsi="Times New Roman" w:cs="Times New Roman"/>
                <w:color w:val="000000" w:themeColor="text1"/>
                <w:sz w:val="24"/>
                <w:highlight w:val="none"/>
                <w14:textFill>
                  <w14:solidFill>
                    <w14:schemeClr w14:val="tx1"/>
                  </w14:solidFill>
                </w14:textFill>
              </w:rPr>
              <w:t>33</w:t>
            </w:r>
            <w:r>
              <w:rPr>
                <w:rFonts w:hint="default" w:ascii="Times New Roman" w:hAnsi="Times New Roman" w:cs="Times New Roman"/>
                <w:color w:val="000000" w:themeColor="text1"/>
                <w:sz w:val="24"/>
                <w:highlight w:val="none"/>
                <w14:textFill>
                  <w14:solidFill>
                    <w14:schemeClr w14:val="tx1"/>
                  </w14:solidFill>
                </w14:textFill>
              </w:rPr>
              <w:t>。</w:t>
            </w:r>
          </w:p>
          <w:p w14:paraId="6D6E3289">
            <w:pPr>
              <w:pStyle w:val="97"/>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表4-</w:t>
            </w:r>
            <w:r>
              <w:rPr>
                <w:rFonts w:hint="default" w:ascii="Times New Roman" w:hAnsi="Times New Roman" w:cs="Times New Roman"/>
                <w:color w:val="000000" w:themeColor="text1"/>
                <w:highlight w:val="none"/>
                <w14:textFill>
                  <w14:solidFill>
                    <w14:schemeClr w14:val="tx1"/>
                  </w14:solidFill>
                </w14:textFill>
              </w:rPr>
              <w:t>33</w:t>
            </w:r>
            <w:r>
              <w:rPr>
                <w:rFonts w:hint="default" w:ascii="Times New Roman" w:hAnsi="Times New Roman" w:cs="Times New Roman"/>
                <w:color w:val="000000" w:themeColor="text1"/>
                <w:highlight w:val="none"/>
                <w14:textFill>
                  <w14:solidFill>
                    <w14:schemeClr w14:val="tx1"/>
                  </w14:solidFill>
                </w14:textFill>
              </w:rPr>
              <w:t xml:space="preserve">  项目竣工环境保护验收一览表</w:t>
            </w:r>
          </w:p>
          <w:tbl>
            <w:tblPr>
              <w:tblStyle w:val="34"/>
              <w:tblW w:w="84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656"/>
              <w:gridCol w:w="1108"/>
              <w:gridCol w:w="1167"/>
              <w:gridCol w:w="1811"/>
              <w:gridCol w:w="2771"/>
            </w:tblGrid>
            <w:tr w14:paraId="4A192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Align w:val="center"/>
                </w:tcPr>
                <w:p w14:paraId="379593DA">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类型</w:t>
                  </w:r>
                </w:p>
              </w:tc>
              <w:tc>
                <w:tcPr>
                  <w:tcW w:w="1764" w:type="dxa"/>
                  <w:gridSpan w:val="2"/>
                  <w:vAlign w:val="center"/>
                </w:tcPr>
                <w:p w14:paraId="0055E332">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污染源</w:t>
                  </w:r>
                </w:p>
              </w:tc>
              <w:tc>
                <w:tcPr>
                  <w:tcW w:w="1167" w:type="dxa"/>
                  <w:vAlign w:val="center"/>
                </w:tcPr>
                <w:p w14:paraId="79F9B633">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污染物</w:t>
                  </w:r>
                </w:p>
              </w:tc>
              <w:tc>
                <w:tcPr>
                  <w:tcW w:w="1811" w:type="dxa"/>
                  <w:vAlign w:val="center"/>
                </w:tcPr>
                <w:p w14:paraId="7BCFB5D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环保设施</w:t>
                  </w:r>
                </w:p>
              </w:tc>
              <w:tc>
                <w:tcPr>
                  <w:tcW w:w="2771" w:type="dxa"/>
                  <w:vAlign w:val="center"/>
                </w:tcPr>
                <w:p w14:paraId="6A7FF64F">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环保要求/执行标准</w:t>
                  </w:r>
                </w:p>
              </w:tc>
            </w:tr>
            <w:tr w14:paraId="1CE3F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restart"/>
                  <w:vAlign w:val="center"/>
                </w:tcPr>
                <w:p w14:paraId="4151F325">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废气</w:t>
                  </w:r>
                </w:p>
              </w:tc>
              <w:tc>
                <w:tcPr>
                  <w:tcW w:w="656" w:type="dxa"/>
                  <w:vMerge w:val="restart"/>
                  <w:vAlign w:val="center"/>
                </w:tcPr>
                <w:p w14:paraId="7FE9B3EB">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有组织</w:t>
                  </w:r>
                </w:p>
              </w:tc>
              <w:tc>
                <w:tcPr>
                  <w:tcW w:w="1108" w:type="dxa"/>
                  <w:vAlign w:val="center"/>
                </w:tcPr>
                <w:p w14:paraId="43A84AA3">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等离子切割下料工序</w:t>
                  </w:r>
                </w:p>
              </w:tc>
              <w:tc>
                <w:tcPr>
                  <w:tcW w:w="1167" w:type="dxa"/>
                  <w:vAlign w:val="center"/>
                </w:tcPr>
                <w:p w14:paraId="2A442A41">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1811" w:type="dxa"/>
                  <w:vAlign w:val="center"/>
                </w:tcPr>
                <w:p w14:paraId="1415CDB1">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布袋除尘+15m高排气筒（DA001）排放</w:t>
                  </w:r>
                </w:p>
              </w:tc>
              <w:tc>
                <w:tcPr>
                  <w:tcW w:w="2771" w:type="dxa"/>
                  <w:vAlign w:val="center"/>
                </w:tcPr>
                <w:p w14:paraId="2380BD1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4857A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714BEB0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continue"/>
                  <w:vAlign w:val="center"/>
                </w:tcPr>
                <w:p w14:paraId="08846D79">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08" w:type="dxa"/>
                  <w:vAlign w:val="center"/>
                </w:tcPr>
                <w:p w14:paraId="5B686D3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抛丸工序</w:t>
                  </w:r>
                </w:p>
              </w:tc>
              <w:tc>
                <w:tcPr>
                  <w:tcW w:w="1167" w:type="dxa"/>
                  <w:vAlign w:val="center"/>
                </w:tcPr>
                <w:p w14:paraId="50336C11">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1811" w:type="dxa"/>
                  <w:vAlign w:val="center"/>
                </w:tcPr>
                <w:p w14:paraId="5FC596C6">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布袋除尘+15m高排气筒（DA002）排放</w:t>
                  </w:r>
                </w:p>
              </w:tc>
              <w:tc>
                <w:tcPr>
                  <w:tcW w:w="2771" w:type="dxa"/>
                  <w:vAlign w:val="center"/>
                </w:tcPr>
                <w:p w14:paraId="3A361886">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24330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66318743">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continue"/>
                  <w:vAlign w:val="center"/>
                </w:tcPr>
                <w:p w14:paraId="151EFE9E">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08" w:type="dxa"/>
                  <w:vAlign w:val="center"/>
                </w:tcPr>
                <w:p w14:paraId="611AAEBD">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腻子打磨工序</w:t>
                  </w:r>
                </w:p>
              </w:tc>
              <w:tc>
                <w:tcPr>
                  <w:tcW w:w="1167" w:type="dxa"/>
                  <w:vAlign w:val="center"/>
                </w:tcPr>
                <w:p w14:paraId="57AE8377">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1811" w:type="dxa"/>
                  <w:vAlign w:val="center"/>
                </w:tcPr>
                <w:p w14:paraId="5CF66144">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布袋除尘</w:t>
                  </w:r>
                </w:p>
              </w:tc>
              <w:tc>
                <w:tcPr>
                  <w:tcW w:w="2771" w:type="dxa"/>
                  <w:vAlign w:val="center"/>
                </w:tcPr>
                <w:p w14:paraId="72FE6343">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3A367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53C6638E">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continue"/>
                  <w:vAlign w:val="center"/>
                </w:tcPr>
                <w:p w14:paraId="7CE62456">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08" w:type="dxa"/>
                  <w:vMerge w:val="restart"/>
                  <w:vAlign w:val="center"/>
                </w:tcPr>
                <w:p w14:paraId="240CEAB5">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喷漆生产线</w:t>
                  </w:r>
                </w:p>
              </w:tc>
              <w:tc>
                <w:tcPr>
                  <w:tcW w:w="1167" w:type="dxa"/>
                  <w:vAlign w:val="center"/>
                </w:tcPr>
                <w:p w14:paraId="1E94F826">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颗粒物</w:t>
                  </w:r>
                </w:p>
              </w:tc>
              <w:tc>
                <w:tcPr>
                  <w:tcW w:w="1811" w:type="dxa"/>
                  <w:vMerge w:val="restart"/>
                  <w:vAlign w:val="center"/>
                </w:tcPr>
                <w:p w14:paraId="54008DD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水喷淋+干式过滤+活性炭吸附/脱附+催化燃烧+15m高排气筒（DA00</w:t>
                  </w:r>
                  <w:r>
                    <w:rPr>
                      <w:rFonts w:hint="default" w:ascii="Times New Roman" w:hAnsi="Times New Roman" w:cs="Times New Roman"/>
                      <w:color w:val="000000" w:themeColor="text1"/>
                      <w:highlight w:val="none"/>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）排放</w:t>
                  </w:r>
                </w:p>
              </w:tc>
              <w:tc>
                <w:tcPr>
                  <w:tcW w:w="2771" w:type="dxa"/>
                  <w:vMerge w:val="restart"/>
                  <w:vAlign w:val="center"/>
                </w:tcPr>
                <w:p w14:paraId="344E4840">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《表面涂装（汽车制造及维修）挥发性有机物、镍排放标准》（DB43/1356-2017）表1标准</w:t>
                  </w:r>
                </w:p>
              </w:tc>
            </w:tr>
            <w:tr w14:paraId="2E257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57492AD1">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continue"/>
                  <w:vAlign w:val="center"/>
                </w:tcPr>
                <w:p w14:paraId="2CFC7B0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08" w:type="dxa"/>
                  <w:vMerge w:val="continue"/>
                  <w:vAlign w:val="center"/>
                </w:tcPr>
                <w:p w14:paraId="6D0892FB">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7" w:type="dxa"/>
                  <w:vAlign w:val="center"/>
                </w:tcPr>
                <w:p w14:paraId="7CFBA669">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VOCS、二甲苯</w:t>
                  </w:r>
                </w:p>
              </w:tc>
              <w:tc>
                <w:tcPr>
                  <w:tcW w:w="1811" w:type="dxa"/>
                  <w:vMerge w:val="continue"/>
                  <w:vAlign w:val="center"/>
                </w:tcPr>
                <w:p w14:paraId="5D2BF47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2771" w:type="dxa"/>
                  <w:vMerge w:val="continue"/>
                  <w:vAlign w:val="center"/>
                </w:tcPr>
                <w:p w14:paraId="7A4E6FD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0D6A1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10" w:type="dxa"/>
                  <w:vMerge w:val="continue"/>
                  <w:vAlign w:val="center"/>
                </w:tcPr>
                <w:p w14:paraId="6F46FC52">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restart"/>
                  <w:vAlign w:val="center"/>
                </w:tcPr>
                <w:p w14:paraId="2CEEF88F">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无组织</w:t>
                  </w:r>
                </w:p>
              </w:tc>
              <w:tc>
                <w:tcPr>
                  <w:tcW w:w="1108" w:type="dxa"/>
                  <w:vAlign w:val="center"/>
                </w:tcPr>
                <w:p w14:paraId="66C24004">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生产过程</w:t>
                  </w:r>
                </w:p>
              </w:tc>
              <w:tc>
                <w:tcPr>
                  <w:tcW w:w="1167" w:type="dxa"/>
                  <w:vAlign w:val="center"/>
                </w:tcPr>
                <w:p w14:paraId="451ED0E4">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VOCs、二甲苯、颗粒物</w:t>
                  </w:r>
                </w:p>
              </w:tc>
              <w:tc>
                <w:tcPr>
                  <w:tcW w:w="1811" w:type="dxa"/>
                  <w:vAlign w:val="center"/>
                </w:tcPr>
                <w:p w14:paraId="4A4082D5">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加强生产厂房的通风，</w:t>
                  </w:r>
                  <w:r>
                    <w:rPr>
                      <w:rFonts w:hint="default" w:ascii="Times New Roman" w:hAnsi="Times New Roman" w:cs="Times New Roman"/>
                      <w:color w:val="000000" w:themeColor="text1"/>
                      <w:highlight w:val="none"/>
                      <w:u w:val="single"/>
                      <w:lang w:val="en-US" w:eastAsia="zh-CN"/>
                      <w14:textFill>
                        <w14:solidFill>
                          <w14:schemeClr w14:val="tx1"/>
                        </w14:solidFill>
                      </w14:textFill>
                    </w:rPr>
                    <w:t>洒水抑尘，</w:t>
                  </w:r>
                  <w:r>
                    <w:rPr>
                      <w:rFonts w:hint="default" w:ascii="Times New Roman" w:hAnsi="Times New Roman" w:cs="Times New Roman"/>
                      <w:color w:val="000000" w:themeColor="text1"/>
                      <w:highlight w:val="none"/>
                      <w14:textFill>
                        <w14:solidFill>
                          <w14:schemeClr w14:val="tx1"/>
                        </w14:solidFill>
                      </w14:textFill>
                    </w:rPr>
                    <w:t>栽种绿植</w:t>
                  </w:r>
                </w:p>
              </w:tc>
              <w:tc>
                <w:tcPr>
                  <w:tcW w:w="2771" w:type="dxa"/>
                  <w:vAlign w:val="center"/>
                </w:tcPr>
                <w:p w14:paraId="27E81493">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参照《表面涂装（汽车制造及维修）挥发性有机物、镍排放标准》（DB43/1356-2017）表3标准；其中颗粒物执行《大气污染物综合排放标准》（GB16297-1996）表2标准</w:t>
                  </w:r>
                </w:p>
              </w:tc>
            </w:tr>
            <w:tr w14:paraId="68331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39942AAF">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656" w:type="dxa"/>
                  <w:vMerge w:val="continue"/>
                  <w:vAlign w:val="center"/>
                </w:tcPr>
                <w:p w14:paraId="0436417C">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08" w:type="dxa"/>
                  <w:vAlign w:val="center"/>
                </w:tcPr>
                <w:p w14:paraId="307AF795">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厂房内</w:t>
                  </w:r>
                </w:p>
              </w:tc>
              <w:tc>
                <w:tcPr>
                  <w:tcW w:w="1167" w:type="dxa"/>
                  <w:vAlign w:val="center"/>
                </w:tcPr>
                <w:p w14:paraId="7878D82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VOCs</w:t>
                  </w:r>
                </w:p>
              </w:tc>
              <w:tc>
                <w:tcPr>
                  <w:tcW w:w="1811" w:type="dxa"/>
                  <w:vAlign w:val="center"/>
                </w:tcPr>
                <w:p w14:paraId="4F0A60BC">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加强生产厂房的通风</w:t>
                  </w:r>
                </w:p>
              </w:tc>
              <w:tc>
                <w:tcPr>
                  <w:tcW w:w="2771" w:type="dxa"/>
                  <w:vAlign w:val="center"/>
                </w:tcPr>
                <w:p w14:paraId="5C2DE83C">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pacing w:val="-1"/>
                      <w:szCs w:val="21"/>
                      <w:highlight w:val="none"/>
                      <w14:textFill>
                        <w14:solidFill>
                          <w14:schemeClr w14:val="tx1"/>
                        </w14:solidFill>
                      </w14:textFill>
                    </w:rPr>
                    <w:t>《挥</w:t>
                  </w:r>
                  <w:r>
                    <w:rPr>
                      <w:rFonts w:hint="default" w:ascii="Times New Roman" w:hAnsi="Times New Roman" w:cs="Times New Roman"/>
                      <w:color w:val="000000" w:themeColor="text1"/>
                      <w:spacing w:val="-2"/>
                      <w:szCs w:val="21"/>
                      <w:highlight w:val="none"/>
                      <w14:textFill>
                        <w14:solidFill>
                          <w14:schemeClr w14:val="tx1"/>
                        </w14:solidFill>
                      </w14:textFill>
                    </w:rPr>
                    <w:t>发性有机物无组织排放控制标准》（GB37822-2019）附</w:t>
                  </w:r>
                  <w:r>
                    <w:rPr>
                      <w:rFonts w:hint="default" w:ascii="Times New Roman" w:hAnsi="Times New Roman" w:cs="Times New Roman"/>
                      <w:color w:val="000000" w:themeColor="text1"/>
                      <w:spacing w:val="-3"/>
                      <w:szCs w:val="21"/>
                      <w:highlight w:val="none"/>
                      <w14:textFill>
                        <w14:solidFill>
                          <w14:schemeClr w14:val="tx1"/>
                        </w14:solidFill>
                      </w14:textFill>
                    </w:rPr>
                    <w:t>录A</w:t>
                  </w:r>
                </w:p>
              </w:tc>
            </w:tr>
            <w:tr w14:paraId="75EFC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Align w:val="center"/>
                </w:tcPr>
                <w:p w14:paraId="0B96AA4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噪声</w:t>
                  </w:r>
                </w:p>
              </w:tc>
              <w:tc>
                <w:tcPr>
                  <w:tcW w:w="1764" w:type="dxa"/>
                  <w:gridSpan w:val="2"/>
                  <w:vAlign w:val="center"/>
                </w:tcPr>
                <w:p w14:paraId="2E0FD7F6">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生产噪声</w:t>
                  </w:r>
                </w:p>
              </w:tc>
              <w:tc>
                <w:tcPr>
                  <w:tcW w:w="1167" w:type="dxa"/>
                  <w:vAlign w:val="center"/>
                </w:tcPr>
                <w:p w14:paraId="30DCD49B">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设备噪声</w:t>
                  </w:r>
                </w:p>
              </w:tc>
              <w:tc>
                <w:tcPr>
                  <w:tcW w:w="1811" w:type="dxa"/>
                  <w:vAlign w:val="center"/>
                </w:tcPr>
                <w:p w14:paraId="22D508CA">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减振、隔声等措施</w:t>
                  </w:r>
                </w:p>
              </w:tc>
              <w:tc>
                <w:tcPr>
                  <w:tcW w:w="2771" w:type="dxa"/>
                  <w:vAlign w:val="center"/>
                </w:tcPr>
                <w:p w14:paraId="61BEF5FD">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《工业企业厂界环境噪声排放标准》（GB12348-2008）中的3类标准</w:t>
                  </w:r>
                </w:p>
              </w:tc>
            </w:tr>
            <w:tr w14:paraId="25E1D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restart"/>
                  <w:vAlign w:val="center"/>
                </w:tcPr>
                <w:p w14:paraId="0A6A2AC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固废</w:t>
                  </w:r>
                </w:p>
              </w:tc>
              <w:tc>
                <w:tcPr>
                  <w:tcW w:w="1764" w:type="dxa"/>
                  <w:gridSpan w:val="2"/>
                  <w:vMerge w:val="restart"/>
                  <w:vAlign w:val="center"/>
                </w:tcPr>
                <w:p w14:paraId="25F7D927">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一般工业固废</w:t>
                  </w:r>
                </w:p>
              </w:tc>
              <w:tc>
                <w:tcPr>
                  <w:tcW w:w="1167" w:type="dxa"/>
                  <w:shd w:val="clear" w:color="auto" w:fill="auto"/>
                  <w:vAlign w:val="center"/>
                </w:tcPr>
                <w:p w14:paraId="3052843C">
                  <w:pPr>
                    <w:adjustRightInd w:val="0"/>
                    <w:snapToGrid w:val="0"/>
                    <w:jc w:val="center"/>
                    <w:textAlignment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金属碎屑、焊渣、抛丸布袋粉尘</w:t>
                  </w:r>
                </w:p>
              </w:tc>
              <w:tc>
                <w:tcPr>
                  <w:tcW w:w="1811" w:type="dxa"/>
                  <w:shd w:val="clear" w:color="auto" w:fill="auto"/>
                  <w:vAlign w:val="center"/>
                </w:tcPr>
                <w:p w14:paraId="68A7CE2E">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外售综合利用</w:t>
                  </w:r>
                </w:p>
              </w:tc>
              <w:tc>
                <w:tcPr>
                  <w:tcW w:w="2771" w:type="dxa"/>
                  <w:vMerge w:val="restart"/>
                  <w:vAlign w:val="center"/>
                </w:tcPr>
                <w:p w14:paraId="089DB97E">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《一般工业固体废物贮存和填埋污染控制标准》（GB18599-2020）</w:t>
                  </w:r>
                </w:p>
              </w:tc>
            </w:tr>
            <w:tr w14:paraId="1864E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640734AD">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Merge w:val="continue"/>
                  <w:vAlign w:val="center"/>
                </w:tcPr>
                <w:p w14:paraId="037CBE52">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7" w:type="dxa"/>
                  <w:shd w:val="clear" w:color="auto" w:fill="auto"/>
                  <w:vAlign w:val="center"/>
                </w:tcPr>
                <w:p w14:paraId="639E11B9">
                  <w:pPr>
                    <w:adjustRightInd w:val="0"/>
                    <w:snapToGrid w:val="0"/>
                    <w:jc w:val="center"/>
                    <w:textAlignment w:val="center"/>
                    <w:rPr>
                      <w:rFonts w:hint="default" w:ascii="Times New Roman" w:hAnsi="Times New Roman" w:cs="Times New Roman"/>
                      <w:color w:val="000000" w:themeColor="text1"/>
                      <w:kern w:val="0"/>
                      <w:szCs w:val="21"/>
                      <w:highlight w:val="none"/>
                      <w:lang w:bidi="ar"/>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打磨布袋粉尘</w:t>
                  </w:r>
                </w:p>
              </w:tc>
              <w:tc>
                <w:tcPr>
                  <w:tcW w:w="1811" w:type="dxa"/>
                  <w:shd w:val="clear" w:color="auto" w:fill="auto"/>
                  <w:vAlign w:val="center"/>
                </w:tcPr>
                <w:p w14:paraId="421AE06A">
                  <w:pPr>
                    <w:pStyle w:val="31"/>
                    <w:ind w:left="0"/>
                    <w:rPr>
                      <w:rFonts w:hint="default" w:ascii="Times New Roman" w:hAnsi="Times New Roman" w:cs="Times New Roman"/>
                      <w:color w:val="000000" w:themeColor="text1"/>
                      <w:kern w:val="0"/>
                      <w:highlight w:val="none"/>
                      <w:lang w:bidi="ar"/>
                      <w14:textFill>
                        <w14:solidFill>
                          <w14:schemeClr w14:val="tx1"/>
                        </w14:solidFill>
                      </w14:textFill>
                    </w:rPr>
                  </w:pPr>
                  <w:r>
                    <w:rPr>
                      <w:rFonts w:hint="default" w:ascii="Times New Roman" w:hAnsi="Times New Roman" w:cs="Times New Roman"/>
                      <w:color w:val="000000" w:themeColor="text1"/>
                      <w:kern w:val="0"/>
                      <w:highlight w:val="none"/>
                      <w:lang w:bidi="ar"/>
                      <w14:textFill>
                        <w14:solidFill>
                          <w14:schemeClr w14:val="tx1"/>
                        </w14:solidFill>
                      </w14:textFill>
                    </w:rPr>
                    <w:t>委托环卫部门清运</w:t>
                  </w:r>
                </w:p>
              </w:tc>
              <w:tc>
                <w:tcPr>
                  <w:tcW w:w="2771" w:type="dxa"/>
                  <w:vMerge w:val="continue"/>
                  <w:vAlign w:val="center"/>
                </w:tcPr>
                <w:p w14:paraId="1C20262A">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6B298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7167B36D">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Merge w:val="continue"/>
                  <w:vAlign w:val="center"/>
                </w:tcPr>
                <w:p w14:paraId="325B5BE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7" w:type="dxa"/>
                  <w:shd w:val="clear" w:color="auto" w:fill="auto"/>
                  <w:vAlign w:val="center"/>
                </w:tcPr>
                <w:p w14:paraId="75E177C5">
                  <w:pPr>
                    <w:adjustRightInd w:val="0"/>
                    <w:snapToGrid w:val="0"/>
                    <w:jc w:val="center"/>
                    <w:textAlignment w:val="center"/>
                    <w:rPr>
                      <w:rFonts w:hint="default" w:ascii="Times New Roman" w:hAnsi="Times New Roman" w:cs="Times New Roman"/>
                      <w:color w:val="000000" w:themeColor="text1"/>
                      <w:szCs w:val="21"/>
                      <w:highlight w:val="none"/>
                      <w:lang w:bidi="ar"/>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废包材</w:t>
                  </w:r>
                </w:p>
              </w:tc>
              <w:tc>
                <w:tcPr>
                  <w:tcW w:w="1811" w:type="dxa"/>
                  <w:shd w:val="clear" w:color="auto" w:fill="auto"/>
                  <w:vAlign w:val="center"/>
                </w:tcPr>
                <w:p w14:paraId="65BCAC03">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highlight w:val="none"/>
                      <w:lang w:bidi="ar"/>
                      <w14:textFill>
                        <w14:solidFill>
                          <w14:schemeClr w14:val="tx1"/>
                        </w14:solidFill>
                      </w14:textFill>
                    </w:rPr>
                    <w:t>外售物资回收公司</w:t>
                  </w:r>
                </w:p>
              </w:tc>
              <w:tc>
                <w:tcPr>
                  <w:tcW w:w="2771" w:type="dxa"/>
                  <w:vMerge w:val="continue"/>
                  <w:vAlign w:val="center"/>
                </w:tcPr>
                <w:p w14:paraId="121FDB37">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4C21A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32CFF310">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Merge w:val="continue"/>
                  <w:vAlign w:val="center"/>
                </w:tcPr>
                <w:p w14:paraId="6EAC89CC">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7" w:type="dxa"/>
                  <w:shd w:val="clear" w:color="auto" w:fill="auto"/>
                  <w:vAlign w:val="center"/>
                </w:tcPr>
                <w:p w14:paraId="6C2F40E8">
                  <w:pPr>
                    <w:adjustRightInd w:val="0"/>
                    <w:snapToGrid w:val="0"/>
                    <w:jc w:val="center"/>
                    <w:textAlignment w:val="center"/>
                    <w:rPr>
                      <w:rFonts w:hint="default" w:ascii="Times New Roman" w:hAnsi="Times New Roman" w:cs="Times New Roman"/>
                      <w:color w:val="000000" w:themeColor="text1"/>
                      <w:szCs w:val="21"/>
                      <w:highlight w:val="none"/>
                      <w:lang w:bidi="ar"/>
                      <w14:textFill>
                        <w14:solidFill>
                          <w14:schemeClr w14:val="tx1"/>
                        </w14:solidFill>
                      </w14:textFill>
                    </w:rPr>
                  </w:pPr>
                  <w:r>
                    <w:rPr>
                      <w:rFonts w:hint="default" w:ascii="Times New Roman" w:hAnsi="Times New Roman" w:cs="Times New Roman"/>
                      <w:color w:val="000000" w:themeColor="text1"/>
                      <w:szCs w:val="21"/>
                      <w:highlight w:val="none"/>
                      <w:lang w:bidi="ar"/>
                      <w14:textFill>
                        <w14:solidFill>
                          <w14:schemeClr w14:val="tx1"/>
                        </w14:solidFill>
                      </w14:textFill>
                    </w:rPr>
                    <w:t>废砂纸</w:t>
                  </w:r>
                </w:p>
              </w:tc>
              <w:tc>
                <w:tcPr>
                  <w:tcW w:w="1811" w:type="dxa"/>
                  <w:shd w:val="clear" w:color="auto" w:fill="auto"/>
                  <w:vAlign w:val="center"/>
                </w:tcPr>
                <w:p w14:paraId="6BD9F067">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highlight w:val="none"/>
                      <w:lang w:bidi="ar"/>
                      <w14:textFill>
                        <w14:solidFill>
                          <w14:schemeClr w14:val="tx1"/>
                        </w14:solidFill>
                      </w14:textFill>
                    </w:rPr>
                    <w:t>委托环卫部门清运</w:t>
                  </w:r>
                </w:p>
              </w:tc>
              <w:tc>
                <w:tcPr>
                  <w:tcW w:w="2771" w:type="dxa"/>
                  <w:vMerge w:val="continue"/>
                  <w:vAlign w:val="center"/>
                </w:tcPr>
                <w:p w14:paraId="22E87D75">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0DF01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41898571">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Merge w:val="restart"/>
                  <w:vAlign w:val="center"/>
                </w:tcPr>
                <w:p w14:paraId="53D11F22">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w:t>
                  </w:r>
                </w:p>
              </w:tc>
              <w:tc>
                <w:tcPr>
                  <w:tcW w:w="1167" w:type="dxa"/>
                  <w:vAlign w:val="center"/>
                </w:tcPr>
                <w:p w14:paraId="18A44873">
                  <w:pPr>
                    <w:widowControl/>
                    <w:adjustRightInd w:val="0"/>
                    <w:snapToGrid w:val="0"/>
                    <w:jc w:val="center"/>
                    <w:textAlignment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漆渣、废活性炭、废油性油漆桶、废稀释剂桶、废固化剂桶、废机油、废润滑油及废油桶、含油废劳保用品</w:t>
                  </w:r>
                </w:p>
              </w:tc>
              <w:tc>
                <w:tcPr>
                  <w:tcW w:w="1811" w:type="dxa"/>
                  <w:vAlign w:val="center"/>
                </w:tcPr>
                <w:p w14:paraId="717C293C">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分类暂存危废暂存间</w:t>
                  </w:r>
                </w:p>
              </w:tc>
              <w:tc>
                <w:tcPr>
                  <w:tcW w:w="2771" w:type="dxa"/>
                  <w:vMerge w:val="restart"/>
                  <w:vAlign w:val="center"/>
                </w:tcPr>
                <w:p w14:paraId="4346CB3F">
                  <w:pPr>
                    <w:pStyle w:val="58"/>
                    <w:spacing w:before="24" w:after="24"/>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《危险废物贮存污染控制标准》（GB 18597-2023）和《危险废物识别标志设置技术规范》（HJ1276-2022）</w:t>
                  </w:r>
                </w:p>
              </w:tc>
            </w:tr>
            <w:tr w14:paraId="428E2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4DE86846">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Merge w:val="continue"/>
                  <w:vAlign w:val="center"/>
                </w:tcPr>
                <w:p w14:paraId="67F52E1A">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167" w:type="dxa"/>
                  <w:vAlign w:val="center"/>
                </w:tcPr>
                <w:p w14:paraId="43F69222">
                  <w:pPr>
                    <w:widowControl/>
                    <w:adjustRightInd w:val="0"/>
                    <w:snapToGrid w:val="0"/>
                    <w:jc w:val="center"/>
                    <w:textAlignment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kern w:val="0"/>
                      <w:szCs w:val="21"/>
                      <w:highlight w:val="none"/>
                      <w:lang w:bidi="ar"/>
                      <w14:textFill>
                        <w14:solidFill>
                          <w14:schemeClr w14:val="tx1"/>
                        </w14:solidFill>
                      </w14:textFill>
                    </w:rPr>
                    <w:t>漆雾吸收废水</w:t>
                  </w:r>
                </w:p>
              </w:tc>
              <w:tc>
                <w:tcPr>
                  <w:tcW w:w="1811" w:type="dxa"/>
                  <w:vAlign w:val="center"/>
                </w:tcPr>
                <w:p w14:paraId="6550F166">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更换时直接由有资质单位采用罐车托运处置</w:t>
                  </w:r>
                </w:p>
              </w:tc>
              <w:tc>
                <w:tcPr>
                  <w:tcW w:w="2771" w:type="dxa"/>
                  <w:vMerge w:val="continue"/>
                  <w:vAlign w:val="center"/>
                </w:tcPr>
                <w:p w14:paraId="6D49C818">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r>
            <w:tr w14:paraId="2AF0B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0" w:type="dxa"/>
                  <w:vMerge w:val="continue"/>
                  <w:vAlign w:val="center"/>
                </w:tcPr>
                <w:p w14:paraId="633E536F">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tc>
              <w:tc>
                <w:tcPr>
                  <w:tcW w:w="1764" w:type="dxa"/>
                  <w:gridSpan w:val="2"/>
                  <w:vAlign w:val="center"/>
                </w:tcPr>
                <w:p w14:paraId="6913A46F">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生活垃圾</w:t>
                  </w:r>
                </w:p>
              </w:tc>
              <w:tc>
                <w:tcPr>
                  <w:tcW w:w="1167" w:type="dxa"/>
                  <w:vAlign w:val="center"/>
                </w:tcPr>
                <w:p w14:paraId="319831BB">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生活垃圾</w:t>
                  </w:r>
                </w:p>
              </w:tc>
              <w:tc>
                <w:tcPr>
                  <w:tcW w:w="1811" w:type="dxa"/>
                  <w:vAlign w:val="center"/>
                </w:tcPr>
                <w:p w14:paraId="36B8B2FE">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垃圾桶</w:t>
                  </w:r>
                </w:p>
              </w:tc>
              <w:tc>
                <w:tcPr>
                  <w:tcW w:w="2771" w:type="dxa"/>
                  <w:vAlign w:val="center"/>
                </w:tcPr>
                <w:p w14:paraId="66B78EDE">
                  <w:pPr>
                    <w:pStyle w:val="31"/>
                    <w:ind w:left="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无害化处置</w:t>
                  </w:r>
                </w:p>
              </w:tc>
            </w:tr>
          </w:tbl>
          <w:p w14:paraId="6FB34C4B">
            <w:pPr>
              <w:pStyle w:val="58"/>
              <w:spacing w:before="24" w:after="24"/>
              <w:rPr>
                <w:rFonts w:hint="default" w:ascii="Times New Roman" w:hAnsi="Times New Roman" w:cs="Times New Roman"/>
                <w:color w:val="000000" w:themeColor="text1"/>
                <w:highlight w:val="none"/>
                <w14:textFill>
                  <w14:solidFill>
                    <w14:schemeClr w14:val="tx1"/>
                  </w14:solidFill>
                </w14:textFill>
              </w:rPr>
            </w:pPr>
          </w:p>
          <w:p w14:paraId="4C82D9F9">
            <w:pPr>
              <w:rPr>
                <w:rFonts w:hint="default" w:ascii="Times New Roman" w:hAnsi="Times New Roman" w:cs="Times New Roman"/>
                <w:color w:val="000000" w:themeColor="text1"/>
                <w:highlight w:val="none"/>
                <w14:textFill>
                  <w14:solidFill>
                    <w14:schemeClr w14:val="tx1"/>
                  </w14:solidFill>
                </w14:textFill>
              </w:rPr>
            </w:pPr>
          </w:p>
          <w:p w14:paraId="52F101B1">
            <w:pPr>
              <w:pStyle w:val="40"/>
              <w:rPr>
                <w:rFonts w:hint="default" w:ascii="Times New Roman" w:hAnsi="Times New Roman" w:cs="Times New Roman"/>
                <w:color w:val="000000" w:themeColor="text1"/>
                <w:highlight w:val="none"/>
                <w14:textFill>
                  <w14:solidFill>
                    <w14:schemeClr w14:val="tx1"/>
                  </w14:solidFill>
                </w14:textFill>
              </w:rPr>
            </w:pPr>
          </w:p>
          <w:p w14:paraId="02DAD426">
            <w:pPr>
              <w:adjustRightInd w:val="0"/>
              <w:snapToGrid w:val="0"/>
              <w:rPr>
                <w:rFonts w:hint="default" w:ascii="Times New Roman" w:hAnsi="Times New Roman" w:cs="Times New Roman"/>
                <w:bCs/>
                <w:color w:val="000000" w:themeColor="text1"/>
                <w:spacing w:val="-10"/>
                <w:szCs w:val="21"/>
                <w:highlight w:val="none"/>
                <w14:textFill>
                  <w14:solidFill>
                    <w14:schemeClr w14:val="tx1"/>
                  </w14:solidFill>
                </w14:textFill>
              </w:rPr>
            </w:pPr>
          </w:p>
          <w:p w14:paraId="2009580D">
            <w:pPr>
              <w:adjustRightInd w:val="0"/>
              <w:snapToGrid w:val="0"/>
              <w:rPr>
                <w:rFonts w:hint="default" w:ascii="Times New Roman" w:hAnsi="Times New Roman" w:cs="Times New Roman"/>
                <w:bCs/>
                <w:color w:val="000000" w:themeColor="text1"/>
                <w:spacing w:val="-10"/>
                <w:szCs w:val="21"/>
                <w:highlight w:val="none"/>
                <w14:textFill>
                  <w14:solidFill>
                    <w14:schemeClr w14:val="tx1"/>
                  </w14:solidFill>
                </w14:textFill>
              </w:rPr>
            </w:pPr>
          </w:p>
        </w:tc>
      </w:tr>
    </w:tbl>
    <w:p w14:paraId="5167528E">
      <w:pPr>
        <w:adjustRightInd w:val="0"/>
        <w:snapToGrid w:val="0"/>
        <w:spacing w:line="360" w:lineRule="auto"/>
        <w:rPr>
          <w:rFonts w:hint="default" w:ascii="Times New Roman" w:hAnsi="Times New Roman" w:cs="Times New Roman"/>
          <w:b/>
          <w:color w:val="000000" w:themeColor="text1"/>
          <w:kern w:val="0"/>
          <w:sz w:val="28"/>
          <w:szCs w:val="28"/>
          <w:highlight w:val="none"/>
          <w14:textFill>
            <w14:solidFill>
              <w14:schemeClr w14:val="tx1"/>
            </w14:solidFill>
          </w14:textFill>
        </w:rPr>
        <w:sectPr>
          <w:pgSz w:w="11905" w:h="16838"/>
          <w:pgMar w:top="1701" w:right="1531" w:bottom="1701" w:left="1531" w:header="851" w:footer="850" w:gutter="0"/>
          <w:cols w:space="0" w:num="1"/>
          <w:docGrid w:linePitch="312" w:charSpace="0"/>
        </w:sectPr>
      </w:pPr>
    </w:p>
    <w:p w14:paraId="03D6F3AC">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105" w:name="_Toc2460"/>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五、</w:t>
      </w:r>
      <w:bookmarkStart w:id="106" w:name="_Hlk54167917"/>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环境保护措施监督检查清单</w:t>
      </w:r>
      <w:bookmarkEnd w:id="105"/>
      <w:bookmarkEnd w:id="106"/>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491"/>
        <w:gridCol w:w="1475"/>
        <w:gridCol w:w="1863"/>
        <w:gridCol w:w="2193"/>
      </w:tblGrid>
      <w:tr w14:paraId="32A88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tcPr>
          <w:p w14:paraId="684EB80B">
            <w:pPr>
              <w:adjustRightInd w:val="0"/>
              <w:snapToGrid w:val="0"/>
              <w:ind w:firstLine="84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内容</w:t>
            </w:r>
          </w:p>
          <w:p w14:paraId="2EF75E6E">
            <w:pPr>
              <w:adjustRightInd w:val="0"/>
              <w:snapToGrid w:val="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要素</w:t>
            </w:r>
          </w:p>
        </w:tc>
        <w:tc>
          <w:tcPr>
            <w:tcW w:w="1491" w:type="dxa"/>
            <w:vAlign w:val="center"/>
          </w:tcPr>
          <w:p w14:paraId="62EE730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排放口(编号、</w:t>
            </w:r>
          </w:p>
          <w:p w14:paraId="70BFE846">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名称)/污染源</w:t>
            </w:r>
          </w:p>
        </w:tc>
        <w:tc>
          <w:tcPr>
            <w:tcW w:w="1475" w:type="dxa"/>
            <w:vAlign w:val="center"/>
          </w:tcPr>
          <w:p w14:paraId="0D3EB4A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污染物项目</w:t>
            </w:r>
          </w:p>
        </w:tc>
        <w:tc>
          <w:tcPr>
            <w:tcW w:w="1863" w:type="dxa"/>
            <w:vAlign w:val="center"/>
          </w:tcPr>
          <w:p w14:paraId="39A426E2">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环境保护措施</w:t>
            </w:r>
          </w:p>
        </w:tc>
        <w:tc>
          <w:tcPr>
            <w:tcW w:w="2193" w:type="dxa"/>
            <w:vAlign w:val="center"/>
          </w:tcPr>
          <w:p w14:paraId="69746DE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执行标准</w:t>
            </w:r>
          </w:p>
        </w:tc>
      </w:tr>
      <w:tr w14:paraId="45398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vAlign w:val="center"/>
          </w:tcPr>
          <w:p w14:paraId="06B8DD3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大气环境</w:t>
            </w:r>
          </w:p>
        </w:tc>
        <w:tc>
          <w:tcPr>
            <w:tcW w:w="1491" w:type="dxa"/>
            <w:vAlign w:val="center"/>
          </w:tcPr>
          <w:p w14:paraId="7D0A9037">
            <w:pPr>
              <w:pStyle w:val="58"/>
              <w:autoSpaceDE w:val="0"/>
              <w:autoSpaceDN w:val="0"/>
              <w:spacing w:before="24" w:after="24" w:line="240" w:lineRule="auto"/>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填充</w:t>
            </w:r>
            <w:r>
              <w:rPr>
                <w:rFonts w:hint="default" w:ascii="Times New Roman" w:hAnsi="Times New Roman" w:cs="Times New Roman"/>
                <w:color w:val="000000" w:themeColor="text1"/>
                <w:kern w:val="2"/>
                <w:sz w:val="21"/>
                <w:szCs w:val="21"/>
                <w:highlight w:val="none"/>
                <w:u w:val="single"/>
                <w:lang w:val="en-US" w:eastAsia="zh-CN"/>
                <w14:textFill>
                  <w14:solidFill>
                    <w14:schemeClr w14:val="tx1"/>
                  </w14:solidFill>
                </w14:textFill>
              </w:rPr>
              <w:t>工序堆存扬尘、</w:t>
            </w:r>
            <w:r>
              <w:rPr>
                <w:rFonts w:hint="default" w:ascii="Times New Roman" w:hAnsi="Times New Roman" w:cs="Times New Roman"/>
                <w:color w:val="000000" w:themeColor="text1"/>
                <w:sz w:val="21"/>
                <w:szCs w:val="21"/>
                <w:highlight w:val="none"/>
                <w:u w:val="single"/>
                <w14:textFill>
                  <w14:solidFill>
                    <w14:schemeClr w14:val="tx1"/>
                  </w14:solidFill>
                </w14:textFill>
              </w:rPr>
              <w:t>装卸过程起尘</w:t>
            </w:r>
            <w:r>
              <w:rPr>
                <w:rFonts w:hint="default" w:ascii="Times New Roman" w:hAnsi="Times New Roman" w:cs="Times New Roman"/>
                <w:color w:val="000000" w:themeColor="text1"/>
                <w:sz w:val="21"/>
                <w:szCs w:val="21"/>
                <w:highlight w:val="none"/>
                <w:u w:val="singl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single"/>
                <w14:textFill>
                  <w14:solidFill>
                    <w14:schemeClr w14:val="tx1"/>
                  </w14:solidFill>
                </w14:textFill>
              </w:rPr>
              <w:t>输送</w:t>
            </w:r>
            <w:r>
              <w:rPr>
                <w:rFonts w:hint="default" w:ascii="Times New Roman" w:hAnsi="Times New Roman" w:cs="Times New Roman"/>
                <w:color w:val="000000" w:themeColor="text1"/>
                <w:sz w:val="21"/>
                <w:szCs w:val="21"/>
                <w:highlight w:val="none"/>
                <w:u w:val="singl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u w:val="single"/>
                <w:lang w:val="en-US" w:eastAsia="zh-CN"/>
                <w14:textFill>
                  <w14:solidFill>
                    <w14:schemeClr w14:val="tx1"/>
                  </w14:solidFill>
                </w14:textFill>
              </w:rPr>
              <w:t>搅拌</w:t>
            </w:r>
            <w:r>
              <w:rPr>
                <w:rFonts w:hint="default" w:ascii="Times New Roman" w:hAnsi="Times New Roman" w:cs="Times New Roman"/>
                <w:color w:val="000000" w:themeColor="text1"/>
                <w:sz w:val="21"/>
                <w:szCs w:val="21"/>
                <w:highlight w:val="none"/>
                <w:u w:val="single"/>
                <w14:textFill>
                  <w14:solidFill>
                    <w14:schemeClr w14:val="tx1"/>
                  </w14:solidFill>
                </w14:textFill>
              </w:rPr>
              <w:t>粉尘</w:t>
            </w:r>
          </w:p>
        </w:tc>
        <w:tc>
          <w:tcPr>
            <w:tcW w:w="1475" w:type="dxa"/>
            <w:vAlign w:val="center"/>
          </w:tcPr>
          <w:p w14:paraId="194B9202">
            <w:pPr>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颗粒物</w:t>
            </w:r>
          </w:p>
        </w:tc>
        <w:tc>
          <w:tcPr>
            <w:tcW w:w="1863" w:type="dxa"/>
            <w:vAlign w:val="center"/>
          </w:tcPr>
          <w:p w14:paraId="032D0C4E">
            <w:pPr>
              <w:pStyle w:val="58"/>
              <w:autoSpaceDE w:val="0"/>
              <w:autoSpaceDN w:val="0"/>
              <w:spacing w:before="24" w:after="24" w:line="240" w:lineRule="auto"/>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kern w:val="2"/>
                <w:highlight w:val="none"/>
                <w:u w:val="single"/>
                <w14:textFill>
                  <w14:solidFill>
                    <w14:schemeClr w14:val="tx1"/>
                  </w14:solidFill>
                </w14:textFill>
              </w:rPr>
              <w:t>车间通风、洒水抑尘</w:t>
            </w:r>
          </w:p>
        </w:tc>
        <w:tc>
          <w:tcPr>
            <w:tcW w:w="2193" w:type="dxa"/>
            <w:vAlign w:val="center"/>
          </w:tcPr>
          <w:p w14:paraId="723DBAF0">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《大气污染物综合排放标准》（GB16297-1996）表2标准</w:t>
            </w:r>
          </w:p>
        </w:tc>
      </w:tr>
      <w:tr w14:paraId="42D96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4B3BEB4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54BE95C7">
            <w:pPr>
              <w:pStyle w:val="58"/>
              <w:autoSpaceDE w:val="0"/>
              <w:autoSpaceDN w:val="0"/>
              <w:spacing w:before="24" w:after="24" w:line="240" w:lineRule="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等离子切割下料</w:t>
            </w:r>
          </w:p>
        </w:tc>
        <w:tc>
          <w:tcPr>
            <w:tcW w:w="1475" w:type="dxa"/>
            <w:vAlign w:val="center"/>
          </w:tcPr>
          <w:p w14:paraId="2E84E4F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1863" w:type="dxa"/>
            <w:vAlign w:val="center"/>
          </w:tcPr>
          <w:p w14:paraId="3B5079E6">
            <w:pPr>
              <w:pStyle w:val="58"/>
              <w:autoSpaceDE w:val="0"/>
              <w:autoSpaceDN w:val="0"/>
              <w:spacing w:before="24" w:after="24" w:line="240" w:lineRule="auto"/>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布袋除尘+15m高排气筒（DA001）</w:t>
            </w:r>
          </w:p>
        </w:tc>
        <w:tc>
          <w:tcPr>
            <w:tcW w:w="2193" w:type="dxa"/>
            <w:vAlign w:val="center"/>
          </w:tcPr>
          <w:p w14:paraId="19613FCD">
            <w:pPr>
              <w:adjustRightInd w:val="0"/>
              <w:snapToGrid w:val="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740717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2A53FCCC">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7315F1BA">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抛丸</w:t>
            </w:r>
          </w:p>
        </w:tc>
        <w:tc>
          <w:tcPr>
            <w:tcW w:w="1475" w:type="dxa"/>
            <w:vAlign w:val="center"/>
          </w:tcPr>
          <w:p w14:paraId="2BE761A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1863" w:type="dxa"/>
            <w:vAlign w:val="center"/>
          </w:tcPr>
          <w:p w14:paraId="669B4CD1">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布袋除尘+15m高排气筒（DA002）</w:t>
            </w:r>
          </w:p>
        </w:tc>
        <w:tc>
          <w:tcPr>
            <w:tcW w:w="2193" w:type="dxa"/>
            <w:vAlign w:val="center"/>
          </w:tcPr>
          <w:p w14:paraId="6EDECA62">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0A07CB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4F17940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56961978">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腻子打磨</w:t>
            </w:r>
          </w:p>
        </w:tc>
        <w:tc>
          <w:tcPr>
            <w:tcW w:w="1475" w:type="dxa"/>
            <w:vAlign w:val="center"/>
          </w:tcPr>
          <w:p w14:paraId="575BFD6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1863" w:type="dxa"/>
            <w:vAlign w:val="center"/>
          </w:tcPr>
          <w:p w14:paraId="7F14B546">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布袋除尘</w:t>
            </w:r>
          </w:p>
        </w:tc>
        <w:tc>
          <w:tcPr>
            <w:tcW w:w="2193" w:type="dxa"/>
            <w:vAlign w:val="center"/>
          </w:tcPr>
          <w:p w14:paraId="587B375D">
            <w:pPr>
              <w:adjustRightInd w:val="0"/>
              <w:snapToGrid w:val="0"/>
              <w:jc w:val="center"/>
              <w:rPr>
                <w:rFonts w:hint="default" w:ascii="Times New Roman" w:hAnsi="Times New Roman" w:cs="Times New Roman"/>
                <w:snapToGrid w:val="0"/>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6C9949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680BF46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2DAC74E1">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喷漆+烘干工序</w:t>
            </w:r>
          </w:p>
        </w:tc>
        <w:tc>
          <w:tcPr>
            <w:tcW w:w="1475" w:type="dxa"/>
            <w:vAlign w:val="center"/>
          </w:tcPr>
          <w:p w14:paraId="4C0CA491">
            <w:pPr>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颗粒物、VOCs、二甲苯</w:t>
            </w:r>
          </w:p>
        </w:tc>
        <w:tc>
          <w:tcPr>
            <w:tcW w:w="1863" w:type="dxa"/>
            <w:vAlign w:val="center"/>
          </w:tcPr>
          <w:p w14:paraId="1C123DCC">
            <w:pPr>
              <w:pStyle w:val="58"/>
              <w:autoSpaceDE w:val="0"/>
              <w:autoSpaceDN w:val="0"/>
              <w:spacing w:before="24" w:after="24" w:line="240" w:lineRule="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14:textFill>
                  <w14:solidFill>
                    <w14:schemeClr w14:val="tx1"/>
                  </w14:solidFill>
                </w14:textFill>
              </w:rPr>
              <w:t>水喷淋+干式过滤器+活性炭吸附/脱附+催化燃烧+15m高排气筒（DA00</w:t>
            </w:r>
            <w:r>
              <w:rPr>
                <w:rFonts w:hint="default" w:ascii="Times New Roman" w:hAnsi="Times New Roman" w:cs="Times New Roman"/>
                <w:color w:val="000000" w:themeColor="text1"/>
                <w:kern w:val="2"/>
                <w:szCs w:val="21"/>
                <w:highlight w:val="none"/>
                <w14:textFill>
                  <w14:solidFill>
                    <w14:schemeClr w14:val="tx1"/>
                  </w14:solidFill>
                </w14:textFill>
              </w:rPr>
              <w:t>3</w:t>
            </w:r>
            <w:r>
              <w:rPr>
                <w:rFonts w:hint="default" w:ascii="Times New Roman" w:hAnsi="Times New Roman" w:cs="Times New Roman"/>
                <w:color w:val="000000" w:themeColor="text1"/>
                <w:kern w:val="2"/>
                <w:szCs w:val="21"/>
                <w:highlight w:val="none"/>
                <w14:textFill>
                  <w14:solidFill>
                    <w14:schemeClr w14:val="tx1"/>
                  </w14:solidFill>
                </w14:textFill>
              </w:rPr>
              <w:t>）</w:t>
            </w:r>
          </w:p>
        </w:tc>
        <w:tc>
          <w:tcPr>
            <w:tcW w:w="2193" w:type="dxa"/>
            <w:vAlign w:val="center"/>
          </w:tcPr>
          <w:p w14:paraId="02D97CE7">
            <w:pPr>
              <w:adjustRightInd w:val="0"/>
              <w:snapToGrid w:val="0"/>
              <w:jc w:val="center"/>
              <w:rPr>
                <w:rFonts w:hint="default" w:ascii="Times New Roman" w:hAnsi="Times New Roman" w:cs="Times New Roman"/>
                <w:snapToGrid w:val="0"/>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《表面涂装（汽车制造及维修）挥发性有机物、镍排放标准》（DB43/1356-2017）表1标准；</w:t>
            </w:r>
            <w:r>
              <w:rPr>
                <w:rFonts w:hint="default" w:ascii="Times New Roman" w:hAnsi="Times New Roman" w:cs="Times New Roman"/>
                <w:bCs/>
                <w:color w:val="000000" w:themeColor="text1"/>
                <w:szCs w:val="21"/>
                <w:highlight w:val="none"/>
                <w14:textFill>
                  <w14:solidFill>
                    <w14:schemeClr w14:val="tx1"/>
                  </w14:solidFill>
                </w14:textFill>
              </w:rPr>
              <w:t>其中颗粒物执行《大气污染物综合排放标准》（GB16297-1996）表2标准</w:t>
            </w:r>
          </w:p>
        </w:tc>
      </w:tr>
      <w:tr w14:paraId="7A1BAB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4FA41FC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66638256">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激光切割下料</w:t>
            </w:r>
          </w:p>
        </w:tc>
        <w:tc>
          <w:tcPr>
            <w:tcW w:w="1475" w:type="dxa"/>
            <w:vAlign w:val="center"/>
          </w:tcPr>
          <w:p w14:paraId="128BF8CF">
            <w:pPr>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1863" w:type="dxa"/>
            <w:vAlign w:val="center"/>
          </w:tcPr>
          <w:p w14:paraId="1ED4CF54">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大颗粒沉降、车间阻隔</w:t>
            </w:r>
          </w:p>
        </w:tc>
        <w:tc>
          <w:tcPr>
            <w:tcW w:w="2193" w:type="dxa"/>
            <w:vAlign w:val="center"/>
          </w:tcPr>
          <w:p w14:paraId="652290D8">
            <w:pPr>
              <w:adjustRightInd w:val="0"/>
              <w:snapToGrid w:val="0"/>
              <w:jc w:val="center"/>
              <w:rPr>
                <w:rFonts w:hint="default" w:ascii="Times New Roman" w:hAnsi="Times New Roman" w:cs="Times New Roman"/>
                <w:snapToGrid w:val="0"/>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37D27F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1295D35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18D92272">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焊接</w:t>
            </w:r>
          </w:p>
        </w:tc>
        <w:tc>
          <w:tcPr>
            <w:tcW w:w="1475" w:type="dxa"/>
            <w:vAlign w:val="center"/>
          </w:tcPr>
          <w:p w14:paraId="5D0B3C97">
            <w:pPr>
              <w:jc w:val="center"/>
              <w:rPr>
                <w:rFonts w:hint="default" w:ascii="Times New Roman" w:hAnsi="Times New Roman" w:cs="Times New Roman"/>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颗粒物</w:t>
            </w:r>
          </w:p>
        </w:tc>
        <w:tc>
          <w:tcPr>
            <w:tcW w:w="1863" w:type="dxa"/>
            <w:vAlign w:val="center"/>
          </w:tcPr>
          <w:p w14:paraId="13204A25">
            <w:pPr>
              <w:autoSpaceDE w:val="0"/>
              <w:autoSpaceDN w:val="0"/>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移动式烟尘净化器处理</w:t>
            </w:r>
          </w:p>
        </w:tc>
        <w:tc>
          <w:tcPr>
            <w:tcW w:w="2193" w:type="dxa"/>
            <w:vAlign w:val="center"/>
          </w:tcPr>
          <w:p w14:paraId="58C92663">
            <w:pPr>
              <w:adjustRightInd w:val="0"/>
              <w:snapToGrid w:val="0"/>
              <w:jc w:val="center"/>
              <w:rPr>
                <w:rFonts w:hint="default" w:ascii="Times New Roman" w:hAnsi="Times New Roman" w:cs="Times New Roman"/>
                <w:snapToGrid w:val="0"/>
                <w:color w:val="000000" w:themeColor="text1"/>
                <w:kern w:val="0"/>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《大气污染物综合排放标准》（GB16297-1996）表2标准</w:t>
            </w:r>
          </w:p>
        </w:tc>
      </w:tr>
      <w:tr w14:paraId="3390B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2176166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4A4656FE">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调漆废气</w:t>
            </w:r>
          </w:p>
        </w:tc>
        <w:tc>
          <w:tcPr>
            <w:tcW w:w="1475" w:type="dxa"/>
            <w:vAlign w:val="center"/>
          </w:tcPr>
          <w:p w14:paraId="0784257E">
            <w:pPr>
              <w:pStyle w:val="58"/>
              <w:spacing w:before="24" w:after="2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挥发性有机物（包括VOCs、二甲苯等）</w:t>
            </w:r>
          </w:p>
        </w:tc>
        <w:tc>
          <w:tcPr>
            <w:tcW w:w="1863" w:type="dxa"/>
            <w:vAlign w:val="center"/>
          </w:tcPr>
          <w:p w14:paraId="739F16BB">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密闭操作</w:t>
            </w:r>
            <w:r>
              <w:rPr>
                <w:rFonts w:hint="default" w:ascii="Times New Roman" w:hAnsi="Times New Roman" w:cs="Times New Roman"/>
                <w:color w:val="000000" w:themeColor="text1"/>
                <w:szCs w:val="21"/>
                <w:highlight w:val="none"/>
                <w:u w:val="single"/>
                <w14:textFill>
                  <w14:solidFill>
                    <w14:schemeClr w14:val="tx1"/>
                  </w14:solidFill>
                </w14:textFill>
              </w:rPr>
              <w:t>，</w:t>
            </w:r>
            <w:r>
              <w:rPr>
                <w:rFonts w:hint="default" w:ascii="Times New Roman" w:hAnsi="Times New Roman" w:cs="Times New Roman"/>
                <w:color w:val="000000" w:themeColor="text1"/>
                <w:szCs w:val="21"/>
                <w:highlight w:val="none"/>
                <w:u w:val="single"/>
                <w14:textFill>
                  <w14:solidFill>
                    <w14:schemeClr w14:val="tx1"/>
                  </w14:solidFill>
                </w14:textFill>
              </w:rPr>
              <w:t>加强车间通风</w:t>
            </w:r>
          </w:p>
        </w:tc>
        <w:tc>
          <w:tcPr>
            <w:tcW w:w="2193" w:type="dxa"/>
            <w:vAlign w:val="center"/>
          </w:tcPr>
          <w:p w14:paraId="3937FA79">
            <w:pPr>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《表面涂装（汽车制造及维修）挥发性有机物、镍排放标准》（DB43/1356-2017）表1标准；</w:t>
            </w:r>
            <w:r>
              <w:rPr>
                <w:rFonts w:hint="default" w:ascii="Times New Roman" w:hAnsi="Times New Roman" w:cs="Times New Roman"/>
                <w:bCs/>
                <w:color w:val="000000" w:themeColor="text1"/>
                <w:szCs w:val="21"/>
                <w:highlight w:val="none"/>
                <w:u w:val="single"/>
                <w14:textFill>
                  <w14:solidFill>
                    <w14:schemeClr w14:val="tx1"/>
                  </w14:solidFill>
                </w14:textFill>
              </w:rPr>
              <w:t>其中颗粒物执行《大气污染物综合排放标准》（GB16297-1996）表2标准</w:t>
            </w:r>
          </w:p>
        </w:tc>
      </w:tr>
      <w:tr w14:paraId="24958E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vAlign w:val="center"/>
          </w:tcPr>
          <w:p w14:paraId="5185073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491" w:type="dxa"/>
            <w:vAlign w:val="center"/>
          </w:tcPr>
          <w:p w14:paraId="777211E8">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危废暂存间有机废气</w:t>
            </w:r>
          </w:p>
        </w:tc>
        <w:tc>
          <w:tcPr>
            <w:tcW w:w="1475" w:type="dxa"/>
            <w:vAlign w:val="center"/>
          </w:tcPr>
          <w:p w14:paraId="6E25DE13">
            <w:pPr>
              <w:pStyle w:val="58"/>
              <w:spacing w:before="24" w:after="24"/>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挥发性有机物（包括VOCs、二甲苯等）</w:t>
            </w:r>
          </w:p>
        </w:tc>
        <w:tc>
          <w:tcPr>
            <w:tcW w:w="1863" w:type="dxa"/>
            <w:vAlign w:val="center"/>
          </w:tcPr>
          <w:p w14:paraId="3DC57537">
            <w:pPr>
              <w:pStyle w:val="58"/>
              <w:spacing w:before="24" w:after="24"/>
              <w:rPr>
                <w:rFonts w:hint="default" w:ascii="Times New Roman" w:hAnsi="Times New Roman" w:cs="Times New Roman"/>
                <w:color w:val="000000" w:themeColor="text1"/>
                <w:kern w:val="2"/>
                <w:szCs w:val="21"/>
                <w:highlight w:val="non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及时清运、</w:t>
            </w:r>
            <w:r>
              <w:rPr>
                <w:rFonts w:hint="default" w:ascii="Times New Roman" w:hAnsi="Times New Roman" w:cs="Times New Roman"/>
                <w:color w:val="000000" w:themeColor="text1"/>
                <w:szCs w:val="21"/>
                <w:highlight w:val="none"/>
                <w:u w:val="single"/>
                <w14:textFill>
                  <w14:solidFill>
                    <w14:schemeClr w14:val="tx1"/>
                  </w14:solidFill>
                </w14:textFill>
              </w:rPr>
              <w:t>加强车间通风</w:t>
            </w:r>
          </w:p>
        </w:tc>
        <w:tc>
          <w:tcPr>
            <w:tcW w:w="2193" w:type="dxa"/>
            <w:vAlign w:val="center"/>
          </w:tcPr>
          <w:p w14:paraId="5B2E91A0">
            <w:pPr>
              <w:adjustRightInd w:val="0"/>
              <w:snapToGrid w:val="0"/>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《表面涂装（汽车制造及维修）挥发性有机物、镍排放标准》（DB43/1356-2017）表1标准；</w:t>
            </w:r>
            <w:r>
              <w:rPr>
                <w:rFonts w:hint="default" w:ascii="Times New Roman" w:hAnsi="Times New Roman" w:cs="Times New Roman"/>
                <w:bCs/>
                <w:color w:val="000000" w:themeColor="text1"/>
                <w:szCs w:val="21"/>
                <w:highlight w:val="none"/>
                <w:u w:val="single"/>
                <w14:textFill>
                  <w14:solidFill>
                    <w14:schemeClr w14:val="tx1"/>
                  </w14:solidFill>
                </w14:textFill>
              </w:rPr>
              <w:t>其中颗粒物执行《大气污染物综合排放标准》（GB16297-1996）表2标准</w:t>
            </w:r>
          </w:p>
        </w:tc>
      </w:tr>
      <w:tr w14:paraId="07CACC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14:paraId="1883DE41">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地表水环境</w:t>
            </w:r>
          </w:p>
        </w:tc>
        <w:tc>
          <w:tcPr>
            <w:tcW w:w="7022" w:type="dxa"/>
            <w:gridSpan w:val="4"/>
            <w:vAlign w:val="center"/>
          </w:tcPr>
          <w:p w14:paraId="15F2343D">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搅拌机清洗废水、作业区清洗废水经废水收集沉淀池处理后上清液回用于</w:t>
            </w:r>
            <w:r>
              <w:rPr>
                <w:rFonts w:hint="default" w:ascii="Times New Roman" w:hAnsi="Times New Roman" w:cs="Times New Roman"/>
                <w:color w:val="000000" w:themeColor="text1"/>
                <w:szCs w:val="21"/>
                <w:highlight w:val="none"/>
                <w:u w:val="single"/>
                <w14:textFill>
                  <w14:solidFill>
                    <w14:schemeClr w14:val="tx1"/>
                  </w14:solidFill>
                </w14:textFill>
              </w:rPr>
              <w:t>混凝土搅拌工艺用水</w:t>
            </w:r>
          </w:p>
        </w:tc>
      </w:tr>
      <w:tr w14:paraId="253DEE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14:paraId="0A1C9067">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声环境</w:t>
            </w:r>
          </w:p>
        </w:tc>
        <w:tc>
          <w:tcPr>
            <w:tcW w:w="1491" w:type="dxa"/>
            <w:vAlign w:val="center"/>
          </w:tcPr>
          <w:p w14:paraId="04DC85E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生产设备</w:t>
            </w:r>
          </w:p>
        </w:tc>
        <w:tc>
          <w:tcPr>
            <w:tcW w:w="1475" w:type="dxa"/>
            <w:vAlign w:val="center"/>
          </w:tcPr>
          <w:p w14:paraId="1B0AAC04">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噪声</w:t>
            </w:r>
          </w:p>
        </w:tc>
        <w:tc>
          <w:tcPr>
            <w:tcW w:w="1863" w:type="dxa"/>
            <w:vAlign w:val="center"/>
          </w:tcPr>
          <w:p w14:paraId="0375E3E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隔声、减震</w:t>
            </w:r>
          </w:p>
        </w:tc>
        <w:tc>
          <w:tcPr>
            <w:tcW w:w="2193" w:type="dxa"/>
            <w:vAlign w:val="center"/>
          </w:tcPr>
          <w:p w14:paraId="5CB4F593">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《工业企业厂界环境噪声排放标准》（GB12348-2008）3类标准</w:t>
            </w:r>
          </w:p>
        </w:tc>
      </w:tr>
      <w:tr w14:paraId="6C0819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Align w:val="center"/>
          </w:tcPr>
          <w:p w14:paraId="53EEE13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电磁辐射</w:t>
            </w:r>
          </w:p>
        </w:tc>
        <w:tc>
          <w:tcPr>
            <w:tcW w:w="1491" w:type="dxa"/>
            <w:vAlign w:val="center"/>
          </w:tcPr>
          <w:p w14:paraId="0E43F7D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475" w:type="dxa"/>
            <w:vAlign w:val="center"/>
          </w:tcPr>
          <w:p w14:paraId="6087D7A8">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863" w:type="dxa"/>
            <w:vAlign w:val="center"/>
          </w:tcPr>
          <w:p w14:paraId="56693F17">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2193" w:type="dxa"/>
            <w:vAlign w:val="center"/>
          </w:tcPr>
          <w:p w14:paraId="1EA6474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01F1C1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1778" w:type="dxa"/>
            <w:vAlign w:val="center"/>
          </w:tcPr>
          <w:p w14:paraId="0DC04C0A">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固体废物</w:t>
            </w:r>
          </w:p>
        </w:tc>
        <w:tc>
          <w:tcPr>
            <w:tcW w:w="7022" w:type="dxa"/>
            <w:gridSpan w:val="4"/>
            <w:vAlign w:val="center"/>
          </w:tcPr>
          <w:p w14:paraId="2531C8D1">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一般固废妥善收集至厂房一般固废暂存区暂存；危险废物收集暂存危废暂存间后定期交由有资质单位处置；生活垃圾采用垃圾袋收集后定期由环卫部门清运处理。</w:t>
            </w:r>
          </w:p>
        </w:tc>
      </w:tr>
      <w:tr w14:paraId="037DC6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32A1170B">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土壤及地下水</w:t>
            </w:r>
          </w:p>
          <w:p w14:paraId="68FDD61D">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污染防治措施</w:t>
            </w:r>
          </w:p>
        </w:tc>
        <w:tc>
          <w:tcPr>
            <w:tcW w:w="7022" w:type="dxa"/>
            <w:gridSpan w:val="4"/>
            <w:vAlign w:val="center"/>
          </w:tcPr>
          <w:p w14:paraId="6D0C149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2086EE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0B24F185">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生态保护措施</w:t>
            </w:r>
          </w:p>
        </w:tc>
        <w:tc>
          <w:tcPr>
            <w:tcW w:w="7022" w:type="dxa"/>
            <w:gridSpan w:val="4"/>
            <w:vAlign w:val="center"/>
          </w:tcPr>
          <w:p w14:paraId="23521F49">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391B21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vAlign w:val="center"/>
          </w:tcPr>
          <w:p w14:paraId="736C89E4">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环境风险</w:t>
            </w:r>
          </w:p>
          <w:p w14:paraId="25F2E398">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防范措施</w:t>
            </w:r>
          </w:p>
        </w:tc>
        <w:tc>
          <w:tcPr>
            <w:tcW w:w="7022" w:type="dxa"/>
            <w:gridSpan w:val="4"/>
            <w:vAlign w:val="center"/>
          </w:tcPr>
          <w:p w14:paraId="72120A1E">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50ACA2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vAlign w:val="center"/>
          </w:tcPr>
          <w:p w14:paraId="60D493FC">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其他环境</w:t>
            </w:r>
          </w:p>
          <w:p w14:paraId="563E262D">
            <w:pPr>
              <w:adjustRightInd w:val="0"/>
              <w:snapToGrid w:val="0"/>
              <w:jc w:val="center"/>
              <w:rPr>
                <w:rFonts w:hint="default" w:ascii="Times New Roman" w:hAnsi="Times New Roman" w:cs="Times New Roman"/>
                <w:color w:val="000000" w:themeColor="text1"/>
                <w:spacing w:val="-8"/>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管理要求</w:t>
            </w:r>
          </w:p>
        </w:tc>
        <w:tc>
          <w:tcPr>
            <w:tcW w:w="7022" w:type="dxa"/>
            <w:gridSpan w:val="4"/>
            <w:vAlign w:val="center"/>
          </w:tcPr>
          <w:p w14:paraId="294B8150">
            <w:pPr>
              <w:adjustRightInd w:val="0"/>
              <w:snapToGrid w:val="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bl>
    <w:p w14:paraId="09DAF4FC">
      <w:pPr>
        <w:pStyle w:val="3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r>
        <w:rPr>
          <w:rFonts w:hint="default" w:ascii="Times New Roman" w:hAnsi="Times New Roman" w:cs="Times New Roman"/>
          <w:snapToGrid w:val="0"/>
          <w:color w:val="000000" w:themeColor="text1"/>
          <w:highlight w:val="none"/>
          <w14:textFill>
            <w14:solidFill>
              <w14:schemeClr w14:val="tx1"/>
            </w14:solidFill>
          </w14:textFill>
        </w:rPr>
        <w:br w:type="page"/>
      </w:r>
      <w:bookmarkStart w:id="107" w:name="_Toc29620"/>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六、结论</w:t>
      </w:r>
      <w:bookmarkEnd w:id="107"/>
    </w:p>
    <w:tbl>
      <w:tblPr>
        <w:tblStyle w:val="3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A7097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2FF523F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建设符合国家产业政策本项目建设符合国家产业政策，项目选址可行。在落实本报告提出的环境保护措施的前提下，废气、噪声可做到达标排放，固废可得到妥善处置，不会对周围环境质量产生明显影响。从环境保护的角度分析，本项目建设可行。</w:t>
            </w:r>
          </w:p>
        </w:tc>
      </w:tr>
    </w:tbl>
    <w:p w14:paraId="7C6F6B92">
      <w:pPr>
        <w:rPr>
          <w:rFonts w:hint="default" w:ascii="Times New Roman" w:hAnsi="Times New Roman" w:cs="Times New Roman"/>
          <w:color w:val="000000" w:themeColor="text1"/>
          <w:highlight w:val="none"/>
          <w14:textFill>
            <w14:solidFill>
              <w14:schemeClr w14:val="tx1"/>
            </w14:solidFill>
          </w14:textFill>
        </w:rPr>
        <w:sectPr>
          <w:pgSz w:w="11905" w:h="16838"/>
          <w:pgMar w:top="1701" w:right="1531" w:bottom="1701" w:left="1531" w:header="851" w:footer="850" w:gutter="0"/>
          <w:cols w:space="0" w:num="1"/>
          <w:docGrid w:linePitch="312" w:charSpace="0"/>
        </w:sectPr>
      </w:pPr>
    </w:p>
    <w:p w14:paraId="597EBAD8">
      <w:pPr>
        <w:pStyle w:val="30"/>
        <w:adjustRightInd w:val="0"/>
        <w:snapToGrid w:val="0"/>
        <w:spacing w:before="0" w:beforeAutospacing="0" w:after="0" w:afterAutospacing="0" w:line="648" w:lineRule="auto"/>
        <w:outlineLvl w:val="0"/>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pPr>
      <w:bookmarkStart w:id="108" w:name="_Toc1426"/>
      <w:r>
        <w:rPr>
          <w:rFonts w:hint="default" w:ascii="Times New Roman" w:hAnsi="Times New Roman" w:eastAsia="黑体" w:cs="Times New Roman"/>
          <w:snapToGrid w:val="0"/>
          <w:color w:val="000000" w:themeColor="text1"/>
          <w:sz w:val="32"/>
          <w:szCs w:val="32"/>
          <w:highlight w:val="none"/>
          <w14:textFill>
            <w14:solidFill>
              <w14:schemeClr w14:val="tx1"/>
            </w14:solidFill>
          </w14:textFill>
        </w:rPr>
        <w:t>附表</w:t>
      </w:r>
      <w:bookmarkEnd w:id="108"/>
    </w:p>
    <w:p w14:paraId="6DD2E594">
      <w:pPr>
        <w:pStyle w:val="30"/>
        <w:adjustRightInd w:val="0"/>
        <w:snapToGrid w:val="0"/>
        <w:spacing w:before="0" w:beforeAutospacing="0" w:after="0" w:afterAutospacing="0" w:line="552" w:lineRule="auto"/>
        <w:jc w:val="center"/>
        <w:outlineLvl w:val="0"/>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pPr>
      <w:bookmarkStart w:id="109" w:name="_Toc31927"/>
      <w:r>
        <w:rPr>
          <w:rFonts w:hint="default" w:ascii="Times New Roman" w:hAnsi="Times New Roman" w:eastAsia="方正小标宋_GBK" w:cs="Times New Roman"/>
          <w:snapToGrid w:val="0"/>
          <w:color w:val="000000" w:themeColor="text1"/>
          <w:sz w:val="38"/>
          <w:szCs w:val="38"/>
          <w:highlight w:val="none"/>
          <w14:textFill>
            <w14:solidFill>
              <w14:schemeClr w14:val="tx1"/>
            </w14:solidFill>
          </w14:textFill>
        </w:rPr>
        <w:t>建设项目污染物排放量汇总表</w:t>
      </w:r>
      <w:bookmarkEnd w:id="109"/>
    </w:p>
    <w:tbl>
      <w:tblPr>
        <w:tblStyle w:val="3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710"/>
        <w:gridCol w:w="1075"/>
      </w:tblGrid>
      <w:tr w14:paraId="552FB5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4EBE5B4C">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项目</w:t>
            </w:r>
          </w:p>
          <w:p w14:paraId="77C14840">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分类</w:t>
            </w:r>
          </w:p>
        </w:tc>
        <w:tc>
          <w:tcPr>
            <w:tcW w:w="1417" w:type="dxa"/>
            <w:tcMar>
              <w:left w:w="28" w:type="dxa"/>
              <w:right w:w="28" w:type="dxa"/>
            </w:tcMar>
            <w:vAlign w:val="center"/>
          </w:tcPr>
          <w:p w14:paraId="4CFDB0B1">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污染物名称</w:t>
            </w:r>
          </w:p>
        </w:tc>
        <w:tc>
          <w:tcPr>
            <w:tcW w:w="1701" w:type="dxa"/>
            <w:tcMar>
              <w:left w:w="28" w:type="dxa"/>
              <w:right w:w="28" w:type="dxa"/>
            </w:tcMar>
            <w:vAlign w:val="center"/>
          </w:tcPr>
          <w:p w14:paraId="3B705071">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现有工程</w:t>
            </w:r>
          </w:p>
          <w:p w14:paraId="5ECAC63B">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①</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276" w:type="dxa"/>
            <w:tcMar>
              <w:left w:w="28" w:type="dxa"/>
              <w:right w:w="28" w:type="dxa"/>
            </w:tcMar>
            <w:vAlign w:val="center"/>
          </w:tcPr>
          <w:p w14:paraId="2423B4B4">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现有工程</w:t>
            </w:r>
          </w:p>
          <w:p w14:paraId="08D82D1E">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许可排放量</w:t>
            </w:r>
          </w:p>
          <w:p w14:paraId="68479590">
            <w:pPr>
              <w:pStyle w:val="58"/>
              <w:spacing w:beforeLines="0" w:afterLines="0"/>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2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②</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701" w:type="dxa"/>
            <w:tcMar>
              <w:left w:w="28" w:type="dxa"/>
              <w:right w:w="28" w:type="dxa"/>
            </w:tcMar>
            <w:vAlign w:val="center"/>
          </w:tcPr>
          <w:p w14:paraId="1D41A1F6">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在建工程</w:t>
            </w:r>
          </w:p>
          <w:p w14:paraId="79EF1C60">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③</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559" w:type="dxa"/>
            <w:tcMar>
              <w:left w:w="28" w:type="dxa"/>
              <w:right w:w="28" w:type="dxa"/>
            </w:tcMar>
            <w:vAlign w:val="center"/>
          </w:tcPr>
          <w:p w14:paraId="6520900D">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本项目</w:t>
            </w:r>
          </w:p>
          <w:p w14:paraId="2D432242">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排放量（固体废物产生量）</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④</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c>
          <w:tcPr>
            <w:tcW w:w="1761" w:type="dxa"/>
            <w:tcMar>
              <w:left w:w="28" w:type="dxa"/>
              <w:right w:w="28" w:type="dxa"/>
            </w:tcMar>
            <w:vAlign w:val="center"/>
          </w:tcPr>
          <w:p w14:paraId="03860829">
            <w:pPr>
              <w:pStyle w:val="58"/>
              <w:spacing w:beforeLines="0" w:afterLines="0" w:line="240" w:lineRule="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以新带老削减量</w:t>
            </w:r>
          </w:p>
          <w:p w14:paraId="47F3B9A0">
            <w:pPr>
              <w:pStyle w:val="58"/>
              <w:spacing w:beforeLines="0" w:afterLines="0" w:line="240" w:lineRule="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（新建项目不填）</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⑤</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end"/>
            </w:r>
          </w:p>
        </w:tc>
        <w:tc>
          <w:tcPr>
            <w:tcW w:w="1710" w:type="dxa"/>
            <w:tcMar>
              <w:left w:w="28" w:type="dxa"/>
              <w:right w:w="28" w:type="dxa"/>
            </w:tcMar>
            <w:vAlign w:val="center"/>
          </w:tcPr>
          <w:p w14:paraId="6C2519D2">
            <w:pPr>
              <w:pStyle w:val="58"/>
              <w:spacing w:beforeLines="0" w:afterLines="0" w:line="240" w:lineRule="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本项目建成后</w:t>
            </w:r>
          </w:p>
          <w:p w14:paraId="665C804D">
            <w:pPr>
              <w:pStyle w:val="58"/>
              <w:spacing w:beforeLines="0" w:afterLines="0" w:line="240" w:lineRule="auto"/>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t>全厂排放量（固体废物产生量）</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⑥</w:t>
            </w:r>
            <w:r>
              <w:rPr>
                <w:rFonts w:hint="default" w:ascii="Times New Roman" w:hAnsi="Times New Roman" w:eastAsia="黑体" w:cs="Times New Roman"/>
                <w:snapToGrid w:val="0"/>
                <w:color w:val="000000" w:themeColor="text1"/>
                <w:spacing w:val="-16"/>
                <w:kern w:val="21"/>
                <w:szCs w:val="21"/>
                <w:highlight w:val="none"/>
                <w14:textFill>
                  <w14:solidFill>
                    <w14:schemeClr w14:val="tx1"/>
                  </w14:solidFill>
                </w14:textFill>
              </w:rPr>
              <w:fldChar w:fldCharType="end"/>
            </w:r>
          </w:p>
        </w:tc>
        <w:tc>
          <w:tcPr>
            <w:tcW w:w="1075" w:type="dxa"/>
            <w:tcMar>
              <w:left w:w="28" w:type="dxa"/>
              <w:right w:w="28" w:type="dxa"/>
            </w:tcMar>
            <w:vAlign w:val="center"/>
          </w:tcPr>
          <w:p w14:paraId="05B30349">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t>变化量</w:t>
            </w:r>
          </w:p>
          <w:p w14:paraId="3F91BDEB">
            <w:pPr>
              <w:pStyle w:val="58"/>
              <w:spacing w:beforeLines="0" w:afterLines="0" w:line="240" w:lineRule="auto"/>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eastAsia="黑体" w:cs="Times New Roman"/>
                <w:color w:val="000000" w:themeColor="text1"/>
                <w:kern w:val="2"/>
                <w:szCs w:val="21"/>
                <w:highlight w:val="none"/>
                <w14:textFill>
                  <w14:solidFill>
                    <w14:schemeClr w14:val="tx1"/>
                  </w14:solidFill>
                </w14:textFill>
              </w:rPr>
              <w:t>⑦</w:t>
            </w:r>
            <w:r>
              <w:rPr>
                <w:rFonts w:hint="default" w:ascii="Times New Roman" w:hAnsi="Times New Roman" w:eastAsia="黑体" w:cs="Times New Roman"/>
                <w:snapToGrid w:val="0"/>
                <w:color w:val="000000" w:themeColor="text1"/>
                <w:spacing w:val="-6"/>
                <w:kern w:val="21"/>
                <w:szCs w:val="21"/>
                <w:highlight w:val="none"/>
                <w14:textFill>
                  <w14:solidFill>
                    <w14:schemeClr w14:val="tx1"/>
                  </w14:solidFill>
                </w14:textFill>
              </w:rPr>
              <w:fldChar w:fldCharType="end"/>
            </w:r>
          </w:p>
        </w:tc>
      </w:tr>
      <w:tr w14:paraId="7C6D36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249C3D4">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t>废气</w:t>
            </w:r>
          </w:p>
        </w:tc>
        <w:tc>
          <w:tcPr>
            <w:tcW w:w="1417" w:type="dxa"/>
            <w:vAlign w:val="center"/>
          </w:tcPr>
          <w:p w14:paraId="02EA527E">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t>颗粒物</w:t>
            </w:r>
          </w:p>
        </w:tc>
        <w:tc>
          <w:tcPr>
            <w:tcW w:w="1701" w:type="dxa"/>
            <w:vAlign w:val="center"/>
          </w:tcPr>
          <w:p w14:paraId="726B6145">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0.0473</w:t>
            </w:r>
          </w:p>
        </w:tc>
        <w:tc>
          <w:tcPr>
            <w:tcW w:w="1276" w:type="dxa"/>
            <w:vAlign w:val="center"/>
          </w:tcPr>
          <w:p w14:paraId="1C7F886F">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701" w:type="dxa"/>
            <w:vAlign w:val="center"/>
          </w:tcPr>
          <w:p w14:paraId="63A1D82C">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559" w:type="dxa"/>
          </w:tcPr>
          <w:p w14:paraId="52EF059F">
            <w:pPr>
              <w:jc w:val="center"/>
              <w:rPr>
                <w:rFonts w:hint="default" w:ascii="Times New Roman" w:hAnsi="Times New Roman" w:eastAsia="宋体" w:cs="Times New Roman"/>
                <w:snapToGrid w:val="0"/>
                <w:color w:val="000000" w:themeColor="text1"/>
                <w:kern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1.041</w:t>
            </w:r>
          </w:p>
        </w:tc>
        <w:tc>
          <w:tcPr>
            <w:tcW w:w="1761" w:type="dxa"/>
            <w:vAlign w:val="center"/>
          </w:tcPr>
          <w:p w14:paraId="36B78558">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0.0473</w:t>
            </w:r>
          </w:p>
        </w:tc>
        <w:tc>
          <w:tcPr>
            <w:tcW w:w="1710" w:type="dxa"/>
          </w:tcPr>
          <w:p w14:paraId="39835FFB">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1.041</w:t>
            </w:r>
          </w:p>
        </w:tc>
        <w:tc>
          <w:tcPr>
            <w:tcW w:w="1075" w:type="dxa"/>
          </w:tcPr>
          <w:p w14:paraId="0005DFF4">
            <w:pPr>
              <w:jc w:val="center"/>
              <w:rPr>
                <w:rFonts w:hint="default" w:ascii="Times New Roman" w:hAnsi="Times New Roman" w:cs="Times New Roman"/>
                <w:snapToGrid w:val="0"/>
                <w:color w:val="000000" w:themeColor="text1"/>
                <w:kern w:val="21"/>
                <w:szCs w:val="21"/>
                <w:highlight w:val="none"/>
                <w:u w:val="single"/>
                <w:lang w:val="en-US"/>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0.9937</w:t>
            </w:r>
          </w:p>
        </w:tc>
      </w:tr>
      <w:tr w14:paraId="0F2D26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4DE57A4">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417" w:type="dxa"/>
            <w:vAlign w:val="center"/>
          </w:tcPr>
          <w:p w14:paraId="60D4D504">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t>VOCs</w:t>
            </w:r>
          </w:p>
        </w:tc>
        <w:tc>
          <w:tcPr>
            <w:tcW w:w="1701" w:type="dxa"/>
            <w:vAlign w:val="center"/>
          </w:tcPr>
          <w:p w14:paraId="5FFCDB42">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0.0814</w:t>
            </w:r>
          </w:p>
        </w:tc>
        <w:tc>
          <w:tcPr>
            <w:tcW w:w="1276" w:type="dxa"/>
            <w:vAlign w:val="center"/>
          </w:tcPr>
          <w:p w14:paraId="027466E5">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701" w:type="dxa"/>
            <w:vAlign w:val="center"/>
          </w:tcPr>
          <w:p w14:paraId="469C1298">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559" w:type="dxa"/>
          </w:tcPr>
          <w:p w14:paraId="6C821BEC">
            <w:pPr>
              <w:jc w:val="center"/>
              <w:rPr>
                <w:rFonts w:hint="default" w:ascii="Times New Roman" w:hAnsi="Times New Roman" w:eastAsia="宋体" w:cs="Times New Roman"/>
                <w:snapToGrid w:val="0"/>
                <w:color w:val="000000" w:themeColor="text1"/>
                <w:kern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0.824</w:t>
            </w:r>
          </w:p>
        </w:tc>
        <w:tc>
          <w:tcPr>
            <w:tcW w:w="1761" w:type="dxa"/>
            <w:vAlign w:val="center"/>
          </w:tcPr>
          <w:p w14:paraId="5676213F">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0.0814</w:t>
            </w:r>
          </w:p>
        </w:tc>
        <w:tc>
          <w:tcPr>
            <w:tcW w:w="1710" w:type="dxa"/>
            <w:vAlign w:val="top"/>
          </w:tcPr>
          <w:p w14:paraId="0CE6591D">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0.824</w:t>
            </w:r>
          </w:p>
        </w:tc>
        <w:tc>
          <w:tcPr>
            <w:tcW w:w="1075" w:type="dxa"/>
          </w:tcPr>
          <w:p w14:paraId="7BF55E3C">
            <w:pPr>
              <w:jc w:val="center"/>
              <w:rPr>
                <w:rFonts w:hint="default" w:ascii="Times New Roman" w:hAnsi="Times New Roman" w:eastAsia="宋体" w:cs="Times New Roman"/>
                <w:snapToGrid w:val="0"/>
                <w:color w:val="000000" w:themeColor="text1"/>
                <w:kern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0.7426</w:t>
            </w:r>
          </w:p>
        </w:tc>
      </w:tr>
      <w:tr w14:paraId="38CD33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22CA159">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417" w:type="dxa"/>
            <w:vAlign w:val="center"/>
          </w:tcPr>
          <w:p w14:paraId="1536C108">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t>二甲苯</w:t>
            </w:r>
          </w:p>
        </w:tc>
        <w:tc>
          <w:tcPr>
            <w:tcW w:w="1701" w:type="dxa"/>
            <w:vAlign w:val="center"/>
          </w:tcPr>
          <w:p w14:paraId="70980062">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0.0182</w:t>
            </w:r>
          </w:p>
        </w:tc>
        <w:tc>
          <w:tcPr>
            <w:tcW w:w="1276" w:type="dxa"/>
            <w:vAlign w:val="center"/>
          </w:tcPr>
          <w:p w14:paraId="12539D73">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701" w:type="dxa"/>
            <w:vAlign w:val="center"/>
          </w:tcPr>
          <w:p w14:paraId="2CCC0358">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559" w:type="dxa"/>
          </w:tcPr>
          <w:p w14:paraId="29A91426">
            <w:pPr>
              <w:jc w:val="center"/>
              <w:rPr>
                <w:rFonts w:hint="default" w:ascii="Times New Roman" w:hAnsi="Times New Roman" w:eastAsia="宋体" w:cs="Times New Roman"/>
                <w:color w:val="000000" w:themeColor="text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0.463</w:t>
            </w:r>
          </w:p>
        </w:tc>
        <w:tc>
          <w:tcPr>
            <w:tcW w:w="1761" w:type="dxa"/>
            <w:vAlign w:val="center"/>
          </w:tcPr>
          <w:p w14:paraId="5676ACBA">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0.0182</w:t>
            </w:r>
          </w:p>
        </w:tc>
        <w:tc>
          <w:tcPr>
            <w:tcW w:w="1710" w:type="dxa"/>
            <w:vAlign w:val="top"/>
          </w:tcPr>
          <w:p w14:paraId="21CD3AE2">
            <w:pPr>
              <w:jc w:val="cente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0.463</w:t>
            </w:r>
          </w:p>
        </w:tc>
        <w:tc>
          <w:tcPr>
            <w:tcW w:w="1075" w:type="dxa"/>
          </w:tcPr>
          <w:p w14:paraId="5958A560">
            <w:pPr>
              <w:jc w:val="center"/>
              <w:rPr>
                <w:rFonts w:hint="default" w:ascii="Times New Roman" w:hAnsi="Times New Roman" w:eastAsia="宋体" w:cs="Times New Roman"/>
                <w:snapToGrid w:val="0"/>
                <w:color w:val="000000" w:themeColor="text1"/>
                <w:kern w:val="21"/>
                <w:szCs w:val="21"/>
                <w:highlight w:val="none"/>
                <w:u w:val="single"/>
                <w:lang w:val="en-US" w:eastAsia="zh-CN"/>
                <w14:textFill>
                  <w14:solidFill>
                    <w14:schemeClr w14:val="tx1"/>
                  </w14:solidFill>
                </w14:textFill>
              </w:rPr>
            </w:pPr>
            <w:r>
              <w:rPr>
                <w:rFonts w:hint="default" w:ascii="Times New Roman" w:hAnsi="Times New Roman" w:cs="Times New Roman"/>
                <w:color w:val="000000" w:themeColor="text1"/>
                <w:szCs w:val="21"/>
                <w:highlight w:val="none"/>
                <w:u w:val="single"/>
                <w:lang w:val="en-US" w:eastAsia="zh-CN"/>
                <w14:textFill>
                  <w14:solidFill>
                    <w14:schemeClr w14:val="tx1"/>
                  </w14:solidFill>
                </w14:textFill>
              </w:rPr>
              <w:t>0.4448</w:t>
            </w:r>
          </w:p>
        </w:tc>
      </w:tr>
      <w:tr w14:paraId="6DAF59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3372D74">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废水</w:t>
            </w:r>
          </w:p>
        </w:tc>
        <w:tc>
          <w:tcPr>
            <w:tcW w:w="1417" w:type="dxa"/>
            <w:vAlign w:val="center"/>
          </w:tcPr>
          <w:p w14:paraId="66D7925B">
            <w:pPr>
              <w:pStyle w:val="82"/>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COD</w:t>
            </w:r>
          </w:p>
        </w:tc>
        <w:tc>
          <w:tcPr>
            <w:tcW w:w="1701" w:type="dxa"/>
            <w:vAlign w:val="center"/>
          </w:tcPr>
          <w:p w14:paraId="77169761">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3"/>
                <w:highlight w:val="none"/>
                <w14:textFill>
                  <w14:solidFill>
                    <w14:schemeClr w14:val="tx1"/>
                  </w14:solidFill>
                </w14:textFill>
              </w:rPr>
              <w:t>0.6474</w:t>
            </w:r>
          </w:p>
        </w:tc>
        <w:tc>
          <w:tcPr>
            <w:tcW w:w="1276" w:type="dxa"/>
            <w:vAlign w:val="center"/>
          </w:tcPr>
          <w:p w14:paraId="38BA5AC7">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6039458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102E3A72">
            <w:pPr>
              <w:pStyle w:val="82"/>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t>0</w:t>
            </w:r>
          </w:p>
        </w:tc>
        <w:tc>
          <w:tcPr>
            <w:tcW w:w="1761" w:type="dxa"/>
            <w:vAlign w:val="center"/>
          </w:tcPr>
          <w:p w14:paraId="5884E36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7D15DFC1">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3"/>
                <w:highlight w:val="none"/>
                <w14:textFill>
                  <w14:solidFill>
                    <w14:schemeClr w14:val="tx1"/>
                  </w14:solidFill>
                </w14:textFill>
              </w:rPr>
              <w:t>0.6474</w:t>
            </w:r>
          </w:p>
        </w:tc>
        <w:tc>
          <w:tcPr>
            <w:tcW w:w="1075" w:type="dxa"/>
            <w:vAlign w:val="center"/>
          </w:tcPr>
          <w:p w14:paraId="4B35E56D">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r>
      <w:tr w14:paraId="048F2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AFF86C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37E23F75">
            <w:pPr>
              <w:pStyle w:val="82"/>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position w:val="2"/>
                <w:sz w:val="21"/>
                <w:szCs w:val="21"/>
                <w:highlight w:val="none"/>
                <w14:textFill>
                  <w14:solidFill>
                    <w14:schemeClr w14:val="tx1"/>
                  </w14:solidFill>
                </w14:textFill>
              </w:rPr>
              <w:t>BOD</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5</w:t>
            </w:r>
          </w:p>
        </w:tc>
        <w:tc>
          <w:tcPr>
            <w:tcW w:w="1701" w:type="dxa"/>
            <w:vAlign w:val="center"/>
          </w:tcPr>
          <w:p w14:paraId="7DA94A23">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1276" w:type="dxa"/>
            <w:vAlign w:val="center"/>
          </w:tcPr>
          <w:p w14:paraId="628E0A5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7E30701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234A230A">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c>
          <w:tcPr>
            <w:tcW w:w="1761" w:type="dxa"/>
            <w:vAlign w:val="center"/>
          </w:tcPr>
          <w:p w14:paraId="6E2EFF16">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1BFCE1A3">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1075" w:type="dxa"/>
            <w:vAlign w:val="center"/>
          </w:tcPr>
          <w:p w14:paraId="4F68DA65">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r>
      <w:tr w14:paraId="031B6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2CB16A9">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44310F23">
            <w:pPr>
              <w:pStyle w:val="82"/>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1"/>
                <w:sz w:val="21"/>
                <w:szCs w:val="21"/>
                <w:highlight w:val="none"/>
                <w14:textFill>
                  <w14:solidFill>
                    <w14:schemeClr w14:val="tx1"/>
                  </w14:solidFill>
                </w14:textFill>
              </w:rPr>
              <w:t>SS</w:t>
            </w:r>
          </w:p>
        </w:tc>
        <w:tc>
          <w:tcPr>
            <w:tcW w:w="1701" w:type="dxa"/>
            <w:vAlign w:val="center"/>
          </w:tcPr>
          <w:p w14:paraId="291E7EF8">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1276" w:type="dxa"/>
            <w:vAlign w:val="center"/>
          </w:tcPr>
          <w:p w14:paraId="11F9C4F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3606F008">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43333FBE">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c>
          <w:tcPr>
            <w:tcW w:w="1761" w:type="dxa"/>
            <w:vAlign w:val="center"/>
          </w:tcPr>
          <w:p w14:paraId="202137E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3569CD77">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0.2774</w:t>
            </w:r>
          </w:p>
        </w:tc>
        <w:tc>
          <w:tcPr>
            <w:tcW w:w="1075" w:type="dxa"/>
            <w:vAlign w:val="center"/>
          </w:tcPr>
          <w:p w14:paraId="36FC2B71">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r>
      <w:tr w14:paraId="4F94E6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D33EA16">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5BA82D14">
            <w:pPr>
              <w:pStyle w:val="82"/>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pacing w:val="-1"/>
                <w:position w:val="2"/>
                <w:sz w:val="21"/>
                <w:szCs w:val="21"/>
                <w:highlight w:val="none"/>
                <w14:textFill>
                  <w14:solidFill>
                    <w14:schemeClr w14:val="tx1"/>
                  </w14:solidFill>
                </w14:textFill>
              </w:rPr>
              <w:t>NH</w:t>
            </w:r>
            <w:r>
              <w:rPr>
                <w:rFonts w:hint="default" w:ascii="Times New Roman" w:hAnsi="Times New Roman" w:cs="Times New Roman" w:eastAsiaTheme="minorEastAsia"/>
                <w:color w:val="000000" w:themeColor="text1"/>
                <w:spacing w:val="-1"/>
                <w:sz w:val="21"/>
                <w:szCs w:val="21"/>
                <w:highlight w:val="none"/>
                <w14:textFill>
                  <w14:solidFill>
                    <w14:schemeClr w14:val="tx1"/>
                  </w14:solidFill>
                </w14:textFill>
              </w:rPr>
              <w:t>3</w:t>
            </w:r>
            <w:r>
              <w:rPr>
                <w:rFonts w:hint="default" w:ascii="Times New Roman" w:hAnsi="Times New Roman" w:cs="Times New Roman" w:eastAsiaTheme="minorEastAsia"/>
                <w:color w:val="000000" w:themeColor="text1"/>
                <w:spacing w:val="-1"/>
                <w:position w:val="2"/>
                <w:sz w:val="21"/>
                <w:szCs w:val="21"/>
                <w:highlight w:val="none"/>
                <w14:textFill>
                  <w14:solidFill>
                    <w14:schemeClr w14:val="tx1"/>
                  </w14:solidFill>
                </w14:textFill>
              </w:rPr>
              <w:t>-N</w:t>
            </w:r>
          </w:p>
        </w:tc>
        <w:tc>
          <w:tcPr>
            <w:tcW w:w="1701" w:type="dxa"/>
            <w:vAlign w:val="center"/>
          </w:tcPr>
          <w:p w14:paraId="5DD63600">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0.0694</w:t>
            </w:r>
          </w:p>
        </w:tc>
        <w:tc>
          <w:tcPr>
            <w:tcW w:w="1276" w:type="dxa"/>
            <w:vAlign w:val="center"/>
          </w:tcPr>
          <w:p w14:paraId="7DE280C1">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75725562">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3E4298BF">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c>
          <w:tcPr>
            <w:tcW w:w="1761" w:type="dxa"/>
            <w:vAlign w:val="center"/>
          </w:tcPr>
          <w:p w14:paraId="1BEAB2E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15DD0CE6">
            <w:pPr>
              <w:pStyle w:val="95"/>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0.0694</w:t>
            </w:r>
          </w:p>
        </w:tc>
        <w:tc>
          <w:tcPr>
            <w:tcW w:w="1075" w:type="dxa"/>
            <w:vAlign w:val="center"/>
          </w:tcPr>
          <w:p w14:paraId="5C449F02">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0</w:t>
            </w:r>
          </w:p>
        </w:tc>
      </w:tr>
      <w:tr w14:paraId="27276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1E4FD72B">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一般工业</w:t>
            </w:r>
          </w:p>
          <w:p w14:paraId="77FE5FA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固体废物</w:t>
            </w:r>
          </w:p>
        </w:tc>
        <w:tc>
          <w:tcPr>
            <w:tcW w:w="1417" w:type="dxa"/>
            <w:vAlign w:val="center"/>
          </w:tcPr>
          <w:p w14:paraId="74A7FA4E">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沉降的金属碎屑及尘</w:t>
            </w:r>
            <w:r>
              <w:rPr>
                <w:rFonts w:hint="default" w:ascii="Times New Roman" w:hAnsi="Times New Roman" w:cs="Times New Roman"/>
                <w:color w:val="000000" w:themeColor="text1"/>
                <w:szCs w:val="21"/>
                <w:highlight w:val="none"/>
                <w14:textFill>
                  <w14:solidFill>
                    <w14:schemeClr w14:val="tx1"/>
                  </w14:solidFill>
                </w14:textFill>
              </w:rPr>
              <w:t>灰</w:t>
            </w:r>
          </w:p>
        </w:tc>
        <w:tc>
          <w:tcPr>
            <w:tcW w:w="1701" w:type="dxa"/>
            <w:vAlign w:val="center"/>
          </w:tcPr>
          <w:p w14:paraId="6B3A798B">
            <w:pPr>
              <w:pStyle w:val="103"/>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0.9</w:t>
            </w:r>
          </w:p>
        </w:tc>
        <w:tc>
          <w:tcPr>
            <w:tcW w:w="1276" w:type="dxa"/>
            <w:vAlign w:val="center"/>
          </w:tcPr>
          <w:p w14:paraId="3D55C966">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1F1C2A4B">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168F49BA">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0.15</w:t>
            </w:r>
          </w:p>
        </w:tc>
        <w:tc>
          <w:tcPr>
            <w:tcW w:w="1761" w:type="dxa"/>
            <w:vAlign w:val="center"/>
          </w:tcPr>
          <w:p w14:paraId="120C2D2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782DF18F">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1.05</w:t>
            </w:r>
          </w:p>
        </w:tc>
        <w:tc>
          <w:tcPr>
            <w:tcW w:w="1075" w:type="dxa"/>
            <w:vAlign w:val="center"/>
          </w:tcPr>
          <w:p w14:paraId="1598EF77">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0.15</w:t>
            </w:r>
          </w:p>
        </w:tc>
      </w:tr>
      <w:tr w14:paraId="2821B0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E90E26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074B25A0">
            <w:pPr>
              <w:pStyle w:val="95"/>
              <w:spacing w:after="0"/>
              <w:rPr>
                <w:rFonts w:hint="default" w:ascii="Times New Roman" w:hAnsi="Times New Roman" w:cs="Times New Roman"/>
                <w:color w:val="000000" w:themeColor="text1"/>
                <w:spacing w:val="8"/>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边角钢料、机加工废料</w:t>
            </w:r>
          </w:p>
        </w:tc>
        <w:tc>
          <w:tcPr>
            <w:tcW w:w="1701" w:type="dxa"/>
            <w:vAlign w:val="center"/>
          </w:tcPr>
          <w:p w14:paraId="68EF1D2D">
            <w:pPr>
              <w:pStyle w:val="95"/>
              <w:spacing w:after="0"/>
              <w:rPr>
                <w:rFonts w:hint="default" w:ascii="Times New Roman" w:hAnsi="Times New Roman" w:cs="Times New Roman"/>
                <w:color w:val="000000" w:themeColor="text1"/>
                <w:spacing w:val="1"/>
                <w:highlight w:val="none"/>
                <w14:textFill>
                  <w14:solidFill>
                    <w14:schemeClr w14:val="tx1"/>
                  </w14:solidFill>
                </w14:textFill>
              </w:rPr>
            </w:pPr>
            <w:r>
              <w:rPr>
                <w:rFonts w:hint="default" w:ascii="Times New Roman" w:hAnsi="Times New Roman" w:cs="Times New Roman"/>
                <w:color w:val="000000" w:themeColor="text1"/>
                <w:spacing w:val="1"/>
                <w:highlight w:val="none"/>
                <w14:textFill>
                  <w14:solidFill>
                    <w14:schemeClr w14:val="tx1"/>
                  </w14:solidFill>
                </w14:textFill>
              </w:rPr>
              <w:t>/</w:t>
            </w:r>
          </w:p>
        </w:tc>
        <w:tc>
          <w:tcPr>
            <w:tcW w:w="1276" w:type="dxa"/>
            <w:vAlign w:val="center"/>
          </w:tcPr>
          <w:p w14:paraId="383F2E1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6AD769D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650530C1">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c>
          <w:tcPr>
            <w:tcW w:w="1761" w:type="dxa"/>
            <w:vAlign w:val="center"/>
          </w:tcPr>
          <w:p w14:paraId="132C447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244C4A3A">
            <w:pPr>
              <w:ind w:left="-105" w:leftChars="-50" w:right="-105" w:rightChars="-50"/>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c>
          <w:tcPr>
            <w:tcW w:w="1075" w:type="dxa"/>
            <w:vAlign w:val="center"/>
          </w:tcPr>
          <w:p w14:paraId="1DC84C3E">
            <w:pPr>
              <w:ind w:left="-105" w:leftChars="-50" w:right="-105" w:rightChars="-5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r>
      <w:tr w14:paraId="47A074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F84BC7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123FCBBF">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布袋收尘</w:t>
            </w:r>
          </w:p>
        </w:tc>
        <w:tc>
          <w:tcPr>
            <w:tcW w:w="1701" w:type="dxa"/>
            <w:vAlign w:val="center"/>
          </w:tcPr>
          <w:p w14:paraId="34782B0A">
            <w:pPr>
              <w:pStyle w:val="103"/>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0.594</w:t>
            </w:r>
          </w:p>
        </w:tc>
        <w:tc>
          <w:tcPr>
            <w:tcW w:w="1276" w:type="dxa"/>
            <w:vAlign w:val="center"/>
          </w:tcPr>
          <w:p w14:paraId="0117F182">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0E98B7A9">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13CA810D">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4.225</w:t>
            </w:r>
          </w:p>
        </w:tc>
        <w:tc>
          <w:tcPr>
            <w:tcW w:w="1761" w:type="dxa"/>
            <w:vAlign w:val="center"/>
          </w:tcPr>
          <w:p w14:paraId="5AC5869B">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66C9D750">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4.819</w:t>
            </w:r>
          </w:p>
        </w:tc>
        <w:tc>
          <w:tcPr>
            <w:tcW w:w="1075" w:type="dxa"/>
            <w:vAlign w:val="center"/>
          </w:tcPr>
          <w:p w14:paraId="685608E7">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4.225</w:t>
            </w:r>
          </w:p>
        </w:tc>
      </w:tr>
      <w:tr w14:paraId="050C97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1B102A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2EC09B5D">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pacing w:val="8"/>
                <w:szCs w:val="21"/>
                <w:highlight w:val="none"/>
                <w14:textFill>
                  <w14:solidFill>
                    <w14:schemeClr w14:val="tx1"/>
                  </w14:solidFill>
                </w14:textFill>
              </w:rPr>
              <w:t>废焊条、焊渣</w:t>
            </w:r>
          </w:p>
        </w:tc>
        <w:tc>
          <w:tcPr>
            <w:tcW w:w="1701" w:type="dxa"/>
            <w:vAlign w:val="center"/>
          </w:tcPr>
          <w:p w14:paraId="2E1503A5">
            <w:pPr>
              <w:pStyle w:val="103"/>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4</w:t>
            </w:r>
          </w:p>
        </w:tc>
        <w:tc>
          <w:tcPr>
            <w:tcW w:w="1276" w:type="dxa"/>
            <w:vAlign w:val="center"/>
          </w:tcPr>
          <w:p w14:paraId="7739A801">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79EF311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683BFE06">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1.78</w:t>
            </w:r>
          </w:p>
        </w:tc>
        <w:tc>
          <w:tcPr>
            <w:tcW w:w="1761" w:type="dxa"/>
            <w:vAlign w:val="center"/>
          </w:tcPr>
          <w:p w14:paraId="608D19F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20295D17">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5.78</w:t>
            </w:r>
          </w:p>
        </w:tc>
        <w:tc>
          <w:tcPr>
            <w:tcW w:w="1075" w:type="dxa"/>
            <w:vAlign w:val="center"/>
          </w:tcPr>
          <w:p w14:paraId="6DE4FEB7">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1.78</w:t>
            </w:r>
          </w:p>
        </w:tc>
      </w:tr>
      <w:tr w14:paraId="2DABC7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F22041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6703787C">
            <w:pPr>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pacing w:val="7"/>
                <w:szCs w:val="21"/>
                <w:highlight w:val="none"/>
                <w14:textFill>
                  <w14:solidFill>
                    <w14:schemeClr w14:val="tx1"/>
                  </w14:solidFill>
                </w14:textFill>
              </w:rPr>
              <w:t>废钢砂</w:t>
            </w:r>
          </w:p>
        </w:tc>
        <w:tc>
          <w:tcPr>
            <w:tcW w:w="1701" w:type="dxa"/>
            <w:vAlign w:val="center"/>
          </w:tcPr>
          <w:p w14:paraId="0B322B9B">
            <w:pPr>
              <w:pStyle w:val="103"/>
              <w:jc w:val="center"/>
              <w:rPr>
                <w:rFonts w:hint="default" w:ascii="Times New Roman" w:hAnsi="Times New Roman" w:cs="Times New Roman"/>
                <w:snapToGrid w:val="0"/>
                <w:color w:val="000000" w:themeColor="text1"/>
                <w:kern w:val="2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276" w:type="dxa"/>
            <w:vAlign w:val="center"/>
          </w:tcPr>
          <w:p w14:paraId="1EBF84C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34553A88">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44B33964">
            <w:pPr>
              <w:spacing w:line="240" w:lineRule="atLeast"/>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w:t>
            </w:r>
          </w:p>
        </w:tc>
        <w:tc>
          <w:tcPr>
            <w:tcW w:w="1761" w:type="dxa"/>
            <w:vAlign w:val="center"/>
          </w:tcPr>
          <w:p w14:paraId="2AAD7DD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5CC11950">
            <w:pPr>
              <w:ind w:left="-105" w:leftChars="-50" w:right="-105" w:rightChars="-5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1075" w:type="dxa"/>
            <w:vAlign w:val="center"/>
          </w:tcPr>
          <w:p w14:paraId="76F4F018">
            <w:pPr>
              <w:spacing w:line="240" w:lineRule="atLeast"/>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w:t>
            </w:r>
          </w:p>
        </w:tc>
      </w:tr>
      <w:tr w14:paraId="3386C3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20B7A46">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7D5E9A34">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废包材</w:t>
            </w:r>
          </w:p>
        </w:tc>
        <w:tc>
          <w:tcPr>
            <w:tcW w:w="1701" w:type="dxa"/>
            <w:vAlign w:val="center"/>
          </w:tcPr>
          <w:p w14:paraId="314EC7B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3651411A">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663B590F">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0DD493C1">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761" w:type="dxa"/>
            <w:vAlign w:val="center"/>
          </w:tcPr>
          <w:p w14:paraId="2F351DE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23C8984F">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075" w:type="dxa"/>
            <w:vAlign w:val="center"/>
          </w:tcPr>
          <w:p w14:paraId="6187D86D">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r>
      <w:tr w14:paraId="5DB802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40B14BB">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48273AB3">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废砂纸</w:t>
            </w:r>
          </w:p>
        </w:tc>
        <w:tc>
          <w:tcPr>
            <w:tcW w:w="1701" w:type="dxa"/>
            <w:vAlign w:val="center"/>
          </w:tcPr>
          <w:p w14:paraId="2403CD08">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40DD63E1">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084D7C84">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1FAE9C43">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1761" w:type="dxa"/>
            <w:vAlign w:val="center"/>
          </w:tcPr>
          <w:p w14:paraId="08AD74AF">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016215D9">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1075" w:type="dxa"/>
            <w:vAlign w:val="center"/>
          </w:tcPr>
          <w:p w14:paraId="2AECE91F">
            <w:pPr>
              <w:pStyle w:val="95"/>
              <w:spacing w:after="0"/>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r>
      <w:tr w14:paraId="68ABC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734D154">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404F890A">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沉淀池沉渣</w:t>
            </w:r>
          </w:p>
        </w:tc>
        <w:tc>
          <w:tcPr>
            <w:tcW w:w="1701" w:type="dxa"/>
            <w:vAlign w:val="center"/>
          </w:tcPr>
          <w:p w14:paraId="4649127C">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r>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t>/</w:t>
            </w:r>
          </w:p>
        </w:tc>
        <w:tc>
          <w:tcPr>
            <w:tcW w:w="1276" w:type="dxa"/>
            <w:vAlign w:val="center"/>
          </w:tcPr>
          <w:p w14:paraId="7C56EE51">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701" w:type="dxa"/>
            <w:vAlign w:val="center"/>
          </w:tcPr>
          <w:p w14:paraId="2E01A060">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559" w:type="dxa"/>
            <w:vAlign w:val="center"/>
          </w:tcPr>
          <w:p w14:paraId="0F723B99">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w:t>
            </w:r>
          </w:p>
        </w:tc>
        <w:tc>
          <w:tcPr>
            <w:tcW w:w="1761" w:type="dxa"/>
            <w:vAlign w:val="center"/>
          </w:tcPr>
          <w:p w14:paraId="2C652351">
            <w:pPr>
              <w:pStyle w:val="58"/>
              <w:spacing w:beforeLines="0" w:afterLines="0" w:line="240" w:lineRule="auto"/>
              <w:rPr>
                <w:rFonts w:hint="default" w:ascii="Times New Roman" w:hAnsi="Times New Roman" w:cs="Times New Roman"/>
                <w:snapToGrid w:val="0"/>
                <w:color w:val="000000" w:themeColor="text1"/>
                <w:kern w:val="21"/>
                <w:szCs w:val="21"/>
                <w:highlight w:val="none"/>
                <w:u w:val="single"/>
                <w14:textFill>
                  <w14:solidFill>
                    <w14:schemeClr w14:val="tx1"/>
                  </w14:solidFill>
                </w14:textFill>
              </w:rPr>
            </w:pPr>
          </w:p>
        </w:tc>
        <w:tc>
          <w:tcPr>
            <w:tcW w:w="1710" w:type="dxa"/>
            <w:vAlign w:val="center"/>
          </w:tcPr>
          <w:p w14:paraId="3F089FE2">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w:t>
            </w:r>
          </w:p>
        </w:tc>
        <w:tc>
          <w:tcPr>
            <w:tcW w:w="1075" w:type="dxa"/>
            <w:vAlign w:val="center"/>
          </w:tcPr>
          <w:p w14:paraId="48EA898D">
            <w:pPr>
              <w:pStyle w:val="95"/>
              <w:spacing w:after="0"/>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w:t>
            </w:r>
          </w:p>
        </w:tc>
      </w:tr>
      <w:tr w14:paraId="47C0F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124A9C7">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危险废物</w:t>
            </w:r>
          </w:p>
        </w:tc>
        <w:tc>
          <w:tcPr>
            <w:tcW w:w="1417" w:type="dxa"/>
            <w:vAlign w:val="center"/>
          </w:tcPr>
          <w:p w14:paraId="169201D9">
            <w:pPr>
              <w:adjustRightInd w:val="0"/>
              <w:snapToGrid w:val="0"/>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漆雾吸收废水</w:t>
            </w:r>
          </w:p>
        </w:tc>
        <w:tc>
          <w:tcPr>
            <w:tcW w:w="1701" w:type="dxa"/>
            <w:vAlign w:val="center"/>
          </w:tcPr>
          <w:p w14:paraId="7A5DB167">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776BB8DF">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7AA037F9">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6F903A20">
            <w:pPr>
              <w:pStyle w:val="95"/>
              <w:spacing w:after="0"/>
              <w:textAlignment w:val="auto"/>
              <w:rPr>
                <w:rFonts w:hint="default" w:ascii="Times New Roman" w:hAnsi="Times New Roman" w:cs="Times New Roman"/>
                <w:snapToGrid w:val="0"/>
                <w:color w:val="000000" w:themeColor="text1"/>
                <w:kern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1.0</w:t>
            </w:r>
          </w:p>
        </w:tc>
        <w:tc>
          <w:tcPr>
            <w:tcW w:w="1761" w:type="dxa"/>
            <w:vAlign w:val="center"/>
          </w:tcPr>
          <w:p w14:paraId="0B12C268">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69B8CF18">
            <w:pPr>
              <w:spacing w:line="240" w:lineRule="atLeast"/>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c>
          <w:tcPr>
            <w:tcW w:w="1075" w:type="dxa"/>
            <w:vAlign w:val="center"/>
          </w:tcPr>
          <w:p w14:paraId="71EDB836">
            <w:pPr>
              <w:spacing w:line="240" w:lineRule="atLeast"/>
              <w:jc w:val="center"/>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1.0</w:t>
            </w:r>
          </w:p>
        </w:tc>
      </w:tr>
      <w:tr w14:paraId="44E551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FD41C0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174311C1">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漆渣</w:t>
            </w:r>
          </w:p>
        </w:tc>
        <w:tc>
          <w:tcPr>
            <w:tcW w:w="1701" w:type="dxa"/>
            <w:vAlign w:val="center"/>
          </w:tcPr>
          <w:p w14:paraId="030CE638">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0.6305</w:t>
            </w:r>
          </w:p>
        </w:tc>
        <w:tc>
          <w:tcPr>
            <w:tcW w:w="1276" w:type="dxa"/>
            <w:vAlign w:val="center"/>
          </w:tcPr>
          <w:p w14:paraId="20E8A24D">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701" w:type="dxa"/>
            <w:vAlign w:val="center"/>
          </w:tcPr>
          <w:p w14:paraId="17A7210B">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559" w:type="dxa"/>
            <w:vAlign w:val="center"/>
          </w:tcPr>
          <w:p w14:paraId="01AB6EE7">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0.465</w:t>
            </w:r>
          </w:p>
        </w:tc>
        <w:tc>
          <w:tcPr>
            <w:tcW w:w="1761" w:type="dxa"/>
            <w:vAlign w:val="center"/>
          </w:tcPr>
          <w:p w14:paraId="28CA4778">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0.6305</w:t>
            </w:r>
          </w:p>
        </w:tc>
        <w:tc>
          <w:tcPr>
            <w:tcW w:w="1710" w:type="dxa"/>
            <w:vAlign w:val="center"/>
          </w:tcPr>
          <w:p w14:paraId="73249F3C">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0.465</w:t>
            </w:r>
          </w:p>
        </w:tc>
        <w:tc>
          <w:tcPr>
            <w:tcW w:w="1075" w:type="dxa"/>
            <w:vAlign w:val="center"/>
          </w:tcPr>
          <w:p w14:paraId="5EFDAD11">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0.465</w:t>
            </w:r>
          </w:p>
        </w:tc>
      </w:tr>
      <w:tr w14:paraId="6AF1E6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2C66EED4">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03E5148F">
            <w:pPr>
              <w:adjustRightInd w:val="0"/>
              <w:snapToGrid w:val="0"/>
              <w:jc w:val="center"/>
              <w:rPr>
                <w:rFonts w:hint="default" w:ascii="Times New Roman" w:hAnsi="Times New Roman" w:cs="Times New Roman"/>
                <w:color w:val="000000" w:themeColor="text1"/>
                <w:szCs w:val="21"/>
                <w:highlight w:val="none"/>
                <w:u w:val="single"/>
                <w14:textFill>
                  <w14:solidFill>
                    <w14:schemeClr w14:val="tx1"/>
                  </w14:solidFill>
                </w14:textFill>
              </w:rPr>
            </w:pPr>
            <w:r>
              <w:rPr>
                <w:rFonts w:hint="default" w:ascii="Times New Roman" w:hAnsi="Times New Roman" w:cs="Times New Roman"/>
                <w:color w:val="000000" w:themeColor="text1"/>
                <w:szCs w:val="21"/>
                <w:highlight w:val="none"/>
                <w:u w:val="single"/>
                <w14:textFill>
                  <w14:solidFill>
                    <w14:schemeClr w14:val="tx1"/>
                  </w14:solidFill>
                </w14:textFill>
              </w:rPr>
              <w:t>废活性炭</w:t>
            </w:r>
          </w:p>
        </w:tc>
        <w:tc>
          <w:tcPr>
            <w:tcW w:w="1701" w:type="dxa"/>
            <w:vAlign w:val="center"/>
          </w:tcPr>
          <w:p w14:paraId="065267C0">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4.3765</w:t>
            </w:r>
          </w:p>
        </w:tc>
        <w:tc>
          <w:tcPr>
            <w:tcW w:w="1276" w:type="dxa"/>
            <w:vAlign w:val="center"/>
          </w:tcPr>
          <w:p w14:paraId="2262F443">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701" w:type="dxa"/>
            <w:vAlign w:val="center"/>
          </w:tcPr>
          <w:p w14:paraId="49417B11">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p>
        </w:tc>
        <w:tc>
          <w:tcPr>
            <w:tcW w:w="1559" w:type="dxa"/>
            <w:vAlign w:val="center"/>
          </w:tcPr>
          <w:p w14:paraId="701B1503">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c>
          <w:tcPr>
            <w:tcW w:w="1761" w:type="dxa"/>
            <w:vAlign w:val="center"/>
          </w:tcPr>
          <w:p w14:paraId="5A020C20">
            <w:pPr>
              <w:pStyle w:val="58"/>
              <w:spacing w:beforeLines="0" w:afterLines="0" w:line="240" w:lineRule="auto"/>
              <w:rPr>
                <w:rFonts w:hint="default" w:ascii="Times New Roman" w:hAnsi="Times New Roman" w:cs="Times New Roman"/>
                <w:color w:val="000000" w:themeColor="text1"/>
                <w:kern w:val="2"/>
                <w:szCs w:val="21"/>
                <w:highlight w:val="none"/>
                <w:u w:val="single"/>
                <w14:textFill>
                  <w14:solidFill>
                    <w14:schemeClr w14:val="tx1"/>
                  </w14:solidFill>
                </w14:textFill>
              </w:rPr>
            </w:pPr>
            <w:r>
              <w:rPr>
                <w:rFonts w:hint="default" w:ascii="Times New Roman" w:hAnsi="Times New Roman" w:cs="Times New Roman"/>
                <w:color w:val="000000" w:themeColor="text1"/>
                <w:kern w:val="2"/>
                <w:szCs w:val="21"/>
                <w:highlight w:val="none"/>
                <w:u w:val="single"/>
                <w14:textFill>
                  <w14:solidFill>
                    <w14:schemeClr w14:val="tx1"/>
                  </w14:solidFill>
                </w14:textFill>
              </w:rPr>
              <w:t>4.3765</w:t>
            </w:r>
          </w:p>
        </w:tc>
        <w:tc>
          <w:tcPr>
            <w:tcW w:w="1710" w:type="dxa"/>
            <w:vAlign w:val="center"/>
          </w:tcPr>
          <w:p w14:paraId="1B98012B">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c>
          <w:tcPr>
            <w:tcW w:w="1075" w:type="dxa"/>
            <w:vAlign w:val="center"/>
          </w:tcPr>
          <w:p w14:paraId="3171846C">
            <w:pPr>
              <w:pStyle w:val="95"/>
              <w:spacing w:after="0"/>
              <w:textAlignment w:val="auto"/>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15.88</w:t>
            </w:r>
          </w:p>
        </w:tc>
      </w:tr>
      <w:tr w14:paraId="239F90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5D2DFA1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47E10460">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废油性油漆桶、废稀释剂桶、废固化剂桶</w:t>
            </w:r>
          </w:p>
        </w:tc>
        <w:tc>
          <w:tcPr>
            <w:tcW w:w="1701" w:type="dxa"/>
            <w:vAlign w:val="center"/>
          </w:tcPr>
          <w:p w14:paraId="1E71A88D">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095BDC41">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241D517A">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13CB8113">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1761" w:type="dxa"/>
            <w:vAlign w:val="center"/>
          </w:tcPr>
          <w:p w14:paraId="012381E2">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4A3A759F">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c>
          <w:tcPr>
            <w:tcW w:w="1075" w:type="dxa"/>
            <w:vAlign w:val="center"/>
          </w:tcPr>
          <w:p w14:paraId="3FBF2948">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0.1</w:t>
            </w:r>
          </w:p>
        </w:tc>
      </w:tr>
      <w:tr w14:paraId="699A19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3B6E43C4">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102A7F7C">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废机油、废润滑油</w:t>
            </w:r>
          </w:p>
        </w:tc>
        <w:tc>
          <w:tcPr>
            <w:tcW w:w="1701" w:type="dxa"/>
            <w:vAlign w:val="center"/>
          </w:tcPr>
          <w:p w14:paraId="4969844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70035AA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4BBA6701">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490E6834">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w:t>
            </w:r>
          </w:p>
        </w:tc>
        <w:tc>
          <w:tcPr>
            <w:tcW w:w="1761" w:type="dxa"/>
            <w:vAlign w:val="center"/>
          </w:tcPr>
          <w:p w14:paraId="48C080B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1C179114">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w:t>
            </w:r>
          </w:p>
        </w:tc>
        <w:tc>
          <w:tcPr>
            <w:tcW w:w="1075" w:type="dxa"/>
            <w:vAlign w:val="center"/>
          </w:tcPr>
          <w:p w14:paraId="4F256B81">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0.2</w:t>
            </w:r>
          </w:p>
        </w:tc>
      </w:tr>
      <w:tr w14:paraId="626545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57CCEFE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6C1BBA25">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废机油及润滑油油桶</w:t>
            </w:r>
          </w:p>
        </w:tc>
        <w:tc>
          <w:tcPr>
            <w:tcW w:w="1701" w:type="dxa"/>
            <w:vAlign w:val="center"/>
          </w:tcPr>
          <w:p w14:paraId="7EC0FFB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color w:val="000000" w:themeColor="text1"/>
                <w:spacing w:val="3"/>
                <w:szCs w:val="21"/>
                <w:highlight w:val="none"/>
                <w14:textFill>
                  <w14:solidFill>
                    <w14:schemeClr w14:val="tx1"/>
                  </w14:solidFill>
                </w14:textFill>
              </w:rPr>
              <w:t>0.145</w:t>
            </w:r>
          </w:p>
        </w:tc>
        <w:tc>
          <w:tcPr>
            <w:tcW w:w="1276" w:type="dxa"/>
            <w:vAlign w:val="center"/>
          </w:tcPr>
          <w:p w14:paraId="4D202837">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65B39A1F">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362C96CA">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0.3</w:t>
            </w:r>
          </w:p>
        </w:tc>
        <w:tc>
          <w:tcPr>
            <w:tcW w:w="1761" w:type="dxa"/>
            <w:vAlign w:val="center"/>
          </w:tcPr>
          <w:p w14:paraId="67A1A31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3EF99B4B">
            <w:pPr>
              <w:spacing w:line="240" w:lineRule="atLeast"/>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0.445</w:t>
            </w:r>
          </w:p>
        </w:tc>
        <w:tc>
          <w:tcPr>
            <w:tcW w:w="1075" w:type="dxa"/>
            <w:vAlign w:val="center"/>
          </w:tcPr>
          <w:p w14:paraId="08C7571A">
            <w:pPr>
              <w:spacing w:line="240" w:lineRule="atLeast"/>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bCs/>
                <w:snapToGrid w:val="0"/>
                <w:color w:val="000000" w:themeColor="text1"/>
                <w:szCs w:val="21"/>
                <w:highlight w:val="none"/>
                <w14:textFill>
                  <w14:solidFill>
                    <w14:schemeClr w14:val="tx1"/>
                  </w14:solidFill>
                </w14:textFill>
              </w:rPr>
              <w:t>0.3</w:t>
            </w:r>
          </w:p>
        </w:tc>
      </w:tr>
      <w:tr w14:paraId="4CB14F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62293803">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6256C17A">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含油废劳保用品</w:t>
            </w:r>
          </w:p>
        </w:tc>
        <w:tc>
          <w:tcPr>
            <w:tcW w:w="1701" w:type="dxa"/>
            <w:vAlign w:val="center"/>
          </w:tcPr>
          <w:p w14:paraId="35493EDC">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55FD5A1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7375C18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078D3E98">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1761" w:type="dxa"/>
            <w:vAlign w:val="center"/>
          </w:tcPr>
          <w:p w14:paraId="50A700B2">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31D27E56">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c>
          <w:tcPr>
            <w:tcW w:w="1075" w:type="dxa"/>
            <w:vAlign w:val="center"/>
          </w:tcPr>
          <w:p w14:paraId="734582A1">
            <w:pPr>
              <w:pStyle w:val="95"/>
              <w:spacing w:after="0"/>
              <w:textAlignment w:val="auto"/>
              <w:rPr>
                <w:rFonts w:hint="default" w:ascii="Times New Roman" w:hAnsi="Times New Roman" w:cs="Times New Roman"/>
                <w:bCs/>
                <w:snapToGrid w:val="0"/>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0.5</w:t>
            </w:r>
          </w:p>
        </w:tc>
      </w:tr>
      <w:tr w14:paraId="4E789C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588" w:type="dxa"/>
            <w:vMerge w:val="continue"/>
            <w:vAlign w:val="center"/>
          </w:tcPr>
          <w:p w14:paraId="49337E05">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417" w:type="dxa"/>
            <w:vAlign w:val="center"/>
          </w:tcPr>
          <w:p w14:paraId="577651CB">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废清洗剂</w:t>
            </w:r>
          </w:p>
        </w:tc>
        <w:tc>
          <w:tcPr>
            <w:tcW w:w="1701" w:type="dxa"/>
            <w:vAlign w:val="center"/>
          </w:tcPr>
          <w:p w14:paraId="712CB9A0">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w:t>
            </w:r>
          </w:p>
        </w:tc>
        <w:tc>
          <w:tcPr>
            <w:tcW w:w="1276" w:type="dxa"/>
            <w:vAlign w:val="center"/>
          </w:tcPr>
          <w:p w14:paraId="5BDA2A02">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01" w:type="dxa"/>
            <w:vAlign w:val="center"/>
          </w:tcPr>
          <w:p w14:paraId="5B8A645E">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559" w:type="dxa"/>
            <w:vAlign w:val="center"/>
          </w:tcPr>
          <w:p w14:paraId="67395B96">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0.024</w:t>
            </w:r>
          </w:p>
        </w:tc>
        <w:tc>
          <w:tcPr>
            <w:tcW w:w="1761" w:type="dxa"/>
            <w:vAlign w:val="center"/>
          </w:tcPr>
          <w:p w14:paraId="1E7B89D9">
            <w:pPr>
              <w:pStyle w:val="58"/>
              <w:spacing w:beforeLines="0" w:afterLines="0" w:line="240" w:lineRule="auto"/>
              <w:rPr>
                <w:rFonts w:hint="default" w:ascii="Times New Roman" w:hAnsi="Times New Roman" w:cs="Times New Roman"/>
                <w:snapToGrid w:val="0"/>
                <w:color w:val="000000" w:themeColor="text1"/>
                <w:kern w:val="21"/>
                <w:szCs w:val="21"/>
                <w:highlight w:val="none"/>
                <w14:textFill>
                  <w14:solidFill>
                    <w14:schemeClr w14:val="tx1"/>
                  </w14:solidFill>
                </w14:textFill>
              </w:rPr>
            </w:pPr>
          </w:p>
        </w:tc>
        <w:tc>
          <w:tcPr>
            <w:tcW w:w="1710" w:type="dxa"/>
            <w:vAlign w:val="center"/>
          </w:tcPr>
          <w:p w14:paraId="04640315">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0.024</w:t>
            </w:r>
          </w:p>
        </w:tc>
        <w:tc>
          <w:tcPr>
            <w:tcW w:w="1075" w:type="dxa"/>
            <w:vAlign w:val="center"/>
          </w:tcPr>
          <w:p w14:paraId="0BD6E76B">
            <w:pPr>
              <w:adjustRightInd w:val="0"/>
              <w:snapToGrid w:val="0"/>
              <w:jc w:val="center"/>
              <w:rPr>
                <w:rFonts w:hint="default" w:ascii="Times New Roman" w:hAnsi="Times New Roman" w:cs="Times New Roman"/>
                <w:bCs/>
                <w:snapToGrid w:val="0"/>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kern w:val="0"/>
                <w:szCs w:val="21"/>
                <w:highlight w:val="none"/>
                <w14:textFill>
                  <w14:solidFill>
                    <w14:schemeClr w14:val="tx1"/>
                  </w14:solidFill>
                </w14:textFill>
              </w:rPr>
              <w:t>0.024</w:t>
            </w:r>
          </w:p>
        </w:tc>
      </w:tr>
    </w:tbl>
    <w:p w14:paraId="041805C3">
      <w:pPr>
        <w:pStyle w:val="58"/>
        <w:spacing w:before="192" w:beforeLines="80" w:after="24"/>
        <w:jc w:val="left"/>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pPr>
      <w:r>
        <w:rPr>
          <w:rFonts w:hint="default" w:ascii="Times New Roman" w:hAnsi="Times New Roman" w:cs="Times New Roman"/>
          <w:snapToGrid w:val="0"/>
          <w:color w:val="000000" w:themeColor="text1"/>
          <w:kern w:val="21"/>
          <w:szCs w:val="21"/>
          <w:highlight w:val="none"/>
          <w14:textFill>
            <w14:solidFill>
              <w14:schemeClr w14:val="tx1"/>
            </w14:solidFill>
          </w14:textFill>
        </w:rPr>
        <w:t>注：</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③</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④</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⑤</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⑦</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⑥</w:t>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fldChar w:fldCharType="end"/>
      </w:r>
      <w:r>
        <w:rPr>
          <w:rFonts w:hint="default" w:ascii="Times New Roman" w:hAnsi="Times New Roman" w:cs="Times New Roman"/>
          <w:snapToGrid w:val="0"/>
          <w:color w:val="000000" w:themeColor="text1"/>
          <w:spacing w:val="-16"/>
          <w:kern w:val="21"/>
          <w:szCs w:val="21"/>
          <w:highlight w:val="none"/>
          <w14:textFill>
            <w14:solidFill>
              <w14:schemeClr w14:val="tx1"/>
            </w14:solidFill>
          </w14:textFill>
        </w:rPr>
        <w:t>-</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begin"/>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szCs w:val="21"/>
          <w:highlight w:val="none"/>
          <w14:textFill>
            <w14:solidFill>
              <w14:schemeClr w14:val="tx1"/>
            </w14:solidFill>
          </w14:textFill>
        </w:rPr>
        <w:t>①</w:t>
      </w:r>
      <w:r>
        <w:rPr>
          <w:rFonts w:hint="default" w:ascii="Times New Roman" w:hAnsi="Times New Roman" w:cs="Times New Roman"/>
          <w:snapToGrid w:val="0"/>
          <w:color w:val="000000" w:themeColor="text1"/>
          <w:spacing w:val="-6"/>
          <w:kern w:val="21"/>
          <w:szCs w:val="21"/>
          <w:highlight w:val="none"/>
          <w14:textFill>
            <w14:solidFill>
              <w14:schemeClr w14:val="tx1"/>
            </w14:solidFill>
          </w14:textFill>
        </w:rPr>
        <w:fldChar w:fldCharType="end"/>
      </w:r>
    </w:p>
    <w:p w14:paraId="28A1AC9C">
      <w:pPr>
        <w:rPr>
          <w:rFonts w:hint="default" w:ascii="Times New Roman" w:hAnsi="Times New Roman" w:cs="Times New Roman"/>
          <w:color w:val="000000" w:themeColor="text1"/>
          <w:highlight w:val="none"/>
          <w14:textFill>
            <w14:solidFill>
              <w14:schemeClr w14:val="tx1"/>
            </w14:solidFill>
          </w14:textFill>
        </w:rPr>
      </w:pPr>
    </w:p>
    <w:p w14:paraId="5D679AF0">
      <w:pPr>
        <w:rPr>
          <w:rFonts w:hint="default" w:ascii="Times New Roman" w:hAnsi="Times New Roman" w:cs="Times New Roman"/>
          <w:color w:val="000000" w:themeColor="text1"/>
          <w:highlight w:val="none"/>
          <w14:textFill>
            <w14:solidFill>
              <w14:schemeClr w14:val="tx1"/>
            </w14:solidFill>
          </w14:textFill>
        </w:rPr>
      </w:pPr>
    </w:p>
    <w:p w14:paraId="6AAFC0DA">
      <w:pPr>
        <w:pStyle w:val="40"/>
        <w:rPr>
          <w:rFonts w:hint="default" w:ascii="Times New Roman" w:hAnsi="Times New Roman" w:cs="Times New Roman"/>
          <w:color w:val="000000" w:themeColor="text1"/>
          <w:highlight w:val="none"/>
          <w14:textFill>
            <w14:solidFill>
              <w14:schemeClr w14:val="tx1"/>
            </w14:solidFill>
          </w14:textFill>
        </w:rPr>
        <w:sectPr>
          <w:footerReference r:id="rId7" w:type="default"/>
          <w:pgSz w:w="16838" w:h="11905" w:orient="landscape"/>
          <w:pgMar w:top="1531" w:right="1701" w:bottom="1531" w:left="1701" w:header="851" w:footer="850" w:gutter="0"/>
          <w:cols w:space="0" w:num="1"/>
          <w:docGrid w:linePitch="312" w:charSpace="0"/>
        </w:sectPr>
      </w:pPr>
    </w:p>
    <w:p w14:paraId="738658F6">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0" w:name="_Toc31098"/>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附件</w:t>
      </w:r>
      <w:bookmarkEnd w:id="110"/>
    </w:p>
    <w:p w14:paraId="040FD98B">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1" w:name="_Toc25421"/>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附件1 原有工程环评批复</w:t>
      </w:r>
      <w:bookmarkEnd w:id="111"/>
    </w:p>
    <w:p w14:paraId="6F196CDB">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589905" cy="7757160"/>
            <wp:effectExtent l="0" t="0" r="10795" b="1524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43"/>
                    <a:stretch>
                      <a:fillRect/>
                    </a:stretch>
                  </pic:blipFill>
                  <pic:spPr>
                    <a:xfrm>
                      <a:off x="0" y="0"/>
                      <a:ext cx="5589905" cy="7757160"/>
                    </a:xfrm>
                    <a:prstGeom prst="rect">
                      <a:avLst/>
                    </a:prstGeom>
                    <a:noFill/>
                    <a:ln>
                      <a:noFill/>
                    </a:ln>
                  </pic:spPr>
                </pic:pic>
              </a:graphicData>
            </a:graphic>
          </wp:inline>
        </w:drawing>
      </w:r>
    </w:p>
    <w:p w14:paraId="3D71F2B6">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2" w:name="_Toc12661"/>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0225" cy="7783195"/>
            <wp:effectExtent l="0" t="0" r="9525" b="8255"/>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44"/>
                    <a:stretch>
                      <a:fillRect/>
                    </a:stretch>
                  </pic:blipFill>
                  <pic:spPr>
                    <a:xfrm>
                      <a:off x="0" y="0"/>
                      <a:ext cx="5610225" cy="778319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0225" cy="7783195"/>
            <wp:effectExtent l="0" t="0" r="9525" b="8255"/>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45"/>
                    <a:stretch>
                      <a:fillRect/>
                    </a:stretch>
                  </pic:blipFill>
                  <pic:spPr>
                    <a:xfrm>
                      <a:off x="0" y="0"/>
                      <a:ext cx="5610225" cy="7783195"/>
                    </a:xfrm>
                    <a:prstGeom prst="rect">
                      <a:avLst/>
                    </a:prstGeom>
                    <a:noFill/>
                    <a:ln>
                      <a:noFill/>
                    </a:ln>
                  </pic:spPr>
                </pic:pic>
              </a:graphicData>
            </a:graphic>
          </wp:inline>
        </w:drawing>
      </w:r>
      <w:bookmarkEnd w:id="112"/>
    </w:p>
    <w:p w14:paraId="57791259">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5AC1BF31">
      <w:pPr>
        <w:rPr>
          <w:rFonts w:hint="default" w:ascii="Times New Roman" w:hAnsi="Times New Roman" w:cs="Times New Roman"/>
          <w:color w:val="000000" w:themeColor="text1"/>
          <w:highlight w:val="none"/>
          <w14:textFill>
            <w14:solidFill>
              <w14:schemeClr w14:val="tx1"/>
            </w14:solidFill>
          </w14:textFill>
        </w:rPr>
      </w:pPr>
    </w:p>
    <w:p w14:paraId="55D092FE">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3DA3EC18">
      <w:pPr>
        <w:rPr>
          <w:rFonts w:hint="default" w:ascii="Times New Roman" w:hAnsi="Times New Roman" w:cs="Times New Roman"/>
          <w:color w:val="000000" w:themeColor="text1"/>
          <w:highlight w:val="none"/>
          <w14:textFill>
            <w14:solidFill>
              <w14:schemeClr w14:val="tx1"/>
            </w14:solidFill>
          </w14:textFill>
        </w:rPr>
      </w:pPr>
    </w:p>
    <w:p w14:paraId="54A53C0B">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3" w:name="_Toc24648"/>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附件2 湖南衡东经济开发区扩区规划环境影响报告书批复</w:t>
      </w:r>
      <w:bookmarkEnd w:id="113"/>
    </w:p>
    <w:p w14:paraId="61FD5E57">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4" w:name="_Toc4954"/>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5"/>
                    <pic:cNvPicPr>
                      <a:picLocks noChangeAspect="1"/>
                    </pic:cNvPicPr>
                  </pic:nvPicPr>
                  <pic:blipFill>
                    <a:blip r:embed="rId46"/>
                    <a:stretch>
                      <a:fillRect/>
                    </a:stretch>
                  </pic:blipFill>
                  <pic:spPr>
                    <a:xfrm>
                      <a:off x="0" y="0"/>
                      <a:ext cx="5612130" cy="7939405"/>
                    </a:xfrm>
                    <a:prstGeom prst="rect">
                      <a:avLst/>
                    </a:prstGeom>
                    <a:noFill/>
                    <a:ln>
                      <a:noFill/>
                    </a:ln>
                  </pic:spPr>
                </pic:pic>
              </a:graphicData>
            </a:graphic>
          </wp:inline>
        </w:drawing>
      </w:r>
      <w:bookmarkEnd w:id="114"/>
    </w:p>
    <w:p w14:paraId="50192278">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5" w:name="_Toc22833"/>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6"/>
                    <pic:cNvPicPr>
                      <a:picLocks noChangeAspect="1"/>
                    </pic:cNvPicPr>
                  </pic:nvPicPr>
                  <pic:blipFill>
                    <a:blip r:embed="rId47"/>
                    <a:stretch>
                      <a:fillRect/>
                    </a:stretch>
                  </pic:blipFill>
                  <pic:spPr>
                    <a:xfrm>
                      <a:off x="0" y="0"/>
                      <a:ext cx="5612130" cy="793940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7"/>
                    <pic:cNvPicPr>
                      <a:picLocks noChangeAspect="1"/>
                    </pic:cNvPicPr>
                  </pic:nvPicPr>
                  <pic:blipFill>
                    <a:blip r:embed="rId48"/>
                    <a:stretch>
                      <a:fillRect/>
                    </a:stretch>
                  </pic:blipFill>
                  <pic:spPr>
                    <a:xfrm>
                      <a:off x="0" y="0"/>
                      <a:ext cx="5612130" cy="793940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8"/>
                    <pic:cNvPicPr>
                      <a:picLocks noChangeAspect="1"/>
                    </pic:cNvPicPr>
                  </pic:nvPicPr>
                  <pic:blipFill>
                    <a:blip r:embed="rId49"/>
                    <a:stretch>
                      <a:fillRect/>
                    </a:stretch>
                  </pic:blipFill>
                  <pic:spPr>
                    <a:xfrm>
                      <a:off x="0" y="0"/>
                      <a:ext cx="5612130" cy="7939405"/>
                    </a:xfrm>
                    <a:prstGeom prst="rect">
                      <a:avLst/>
                    </a:prstGeom>
                    <a:noFill/>
                    <a:ln>
                      <a:noFill/>
                    </a:ln>
                  </pic:spPr>
                </pic:pic>
              </a:graphicData>
            </a:graphic>
          </wp:inline>
        </w:drawing>
      </w:r>
      <w:bookmarkEnd w:id="115"/>
    </w:p>
    <w:p w14:paraId="6F4C40E3">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6" w:name="_Toc20853"/>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9"/>
                    <pic:cNvPicPr>
                      <a:picLocks noChangeAspect="1"/>
                    </pic:cNvPicPr>
                  </pic:nvPicPr>
                  <pic:blipFill>
                    <a:blip r:embed="rId50"/>
                    <a:stretch>
                      <a:fillRect/>
                    </a:stretch>
                  </pic:blipFill>
                  <pic:spPr>
                    <a:xfrm>
                      <a:off x="0" y="0"/>
                      <a:ext cx="5612130" cy="7939405"/>
                    </a:xfrm>
                    <a:prstGeom prst="rect">
                      <a:avLst/>
                    </a:prstGeom>
                    <a:noFill/>
                    <a:ln>
                      <a:noFill/>
                    </a:ln>
                  </pic:spPr>
                </pic:pic>
              </a:graphicData>
            </a:graphic>
          </wp:inline>
        </w:drawing>
      </w:r>
      <w:bookmarkEnd w:id="116"/>
    </w:p>
    <w:p w14:paraId="5B6248DD">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bookmarkStart w:id="117" w:name="_Toc5757"/>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40"/>
                    <pic:cNvPicPr>
                      <a:picLocks noChangeAspect="1"/>
                    </pic:cNvPicPr>
                  </pic:nvPicPr>
                  <pic:blipFill>
                    <a:blip r:embed="rId51"/>
                    <a:stretch>
                      <a:fillRect/>
                    </a:stretch>
                  </pic:blipFill>
                  <pic:spPr>
                    <a:xfrm>
                      <a:off x="0" y="0"/>
                      <a:ext cx="5612130" cy="793940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1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1"/>
                    <pic:cNvPicPr>
                      <a:picLocks noChangeAspect="1"/>
                    </pic:cNvPicPr>
                  </pic:nvPicPr>
                  <pic:blipFill>
                    <a:blip r:embed="rId52"/>
                    <a:stretch>
                      <a:fillRect/>
                    </a:stretch>
                  </pic:blipFill>
                  <pic:spPr>
                    <a:xfrm>
                      <a:off x="0" y="0"/>
                      <a:ext cx="5612130" cy="793940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2130" cy="7939405"/>
            <wp:effectExtent l="0" t="0" r="7620" b="4445"/>
            <wp:docPr id="12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2"/>
                    <pic:cNvPicPr>
                      <a:picLocks noChangeAspect="1"/>
                    </pic:cNvPicPr>
                  </pic:nvPicPr>
                  <pic:blipFill>
                    <a:blip r:embed="rId53"/>
                    <a:stretch>
                      <a:fillRect/>
                    </a:stretch>
                  </pic:blipFill>
                  <pic:spPr>
                    <a:xfrm>
                      <a:off x="0" y="0"/>
                      <a:ext cx="5612130" cy="7939405"/>
                    </a:xfrm>
                    <a:prstGeom prst="rect">
                      <a:avLst/>
                    </a:prstGeom>
                    <a:noFill/>
                    <a:ln>
                      <a:noFill/>
                    </a:ln>
                  </pic:spPr>
                </pic:pic>
              </a:graphicData>
            </a:graphic>
          </wp:inline>
        </w:drawing>
      </w:r>
      <w:bookmarkEnd w:id="117"/>
    </w:p>
    <w:p w14:paraId="64921EA0">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54ADBFE2">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28A72030">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2E8A982C">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18" w:name="_Toc23639"/>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 xml:space="preserve">附件3 </w:t>
      </w:r>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部分</w:t>
      </w:r>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MSDS</w:t>
      </w:r>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报告</w:t>
      </w:r>
      <w:bookmarkEnd w:id="118"/>
    </w:p>
    <w:p w14:paraId="15FC9572">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8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
                    <pic:cNvPicPr>
                      <a:picLocks noChangeAspect="1"/>
                    </pic:cNvPicPr>
                  </pic:nvPicPr>
                  <pic:blipFill>
                    <a:blip r:embed="rId54"/>
                    <a:stretch>
                      <a:fillRect/>
                    </a:stretch>
                  </pic:blipFill>
                  <pic:spPr>
                    <a:xfrm>
                      <a:off x="0" y="0"/>
                      <a:ext cx="5608955" cy="7252970"/>
                    </a:xfrm>
                    <a:prstGeom prst="rect">
                      <a:avLst/>
                    </a:prstGeom>
                    <a:noFill/>
                    <a:ln>
                      <a:noFill/>
                    </a:ln>
                  </pic:spPr>
                </pic:pic>
              </a:graphicData>
            </a:graphic>
          </wp:inline>
        </w:drawing>
      </w:r>
    </w:p>
    <w:p w14:paraId="15FDF881">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bookmarkStart w:id="119" w:name="_Toc12453"/>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1"/>
                    <pic:cNvPicPr>
                      <a:picLocks noChangeAspect="1"/>
                    </pic:cNvPicPr>
                  </pic:nvPicPr>
                  <pic:blipFill>
                    <a:blip r:embed="rId55"/>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56"/>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57"/>
                    <a:stretch>
                      <a:fillRect/>
                    </a:stretch>
                  </pic:blipFill>
                  <pic:spPr>
                    <a:xfrm>
                      <a:off x="0" y="0"/>
                      <a:ext cx="5608955" cy="7252970"/>
                    </a:xfrm>
                    <a:prstGeom prst="rect">
                      <a:avLst/>
                    </a:prstGeom>
                    <a:noFill/>
                    <a:ln>
                      <a:noFill/>
                    </a:ln>
                  </pic:spPr>
                </pic:pic>
              </a:graphicData>
            </a:graphic>
          </wp:inline>
        </w:drawing>
      </w:r>
      <w:bookmarkEnd w:id="119"/>
    </w:p>
    <w:p w14:paraId="4B332848">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049D2D93">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1CEA0498">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58BF0ACB">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340DE3D7">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13EA7DA2">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25E2711E">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11495" cy="7261860"/>
            <wp:effectExtent l="0" t="0" r="8255" b="1524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58"/>
                    <a:stretch>
                      <a:fillRect/>
                    </a:stretch>
                  </pic:blipFill>
                  <pic:spPr>
                    <a:xfrm>
                      <a:off x="0" y="0"/>
                      <a:ext cx="5611495" cy="7261860"/>
                    </a:xfrm>
                    <a:prstGeom prst="rect">
                      <a:avLst/>
                    </a:prstGeom>
                    <a:noFill/>
                    <a:ln>
                      <a:noFill/>
                    </a:ln>
                  </pic:spPr>
                </pic:pic>
              </a:graphicData>
            </a:graphic>
          </wp:inline>
        </w:drawing>
      </w:r>
    </w:p>
    <w:p w14:paraId="7B1A4763">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bookmarkStart w:id="120" w:name="_Toc21528"/>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6415" cy="7254875"/>
            <wp:effectExtent l="0" t="0" r="13335" b="3175"/>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59"/>
                    <a:stretch>
                      <a:fillRect/>
                    </a:stretch>
                  </pic:blipFill>
                  <pic:spPr>
                    <a:xfrm>
                      <a:off x="0" y="0"/>
                      <a:ext cx="5606415" cy="725487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6415" cy="7254875"/>
            <wp:effectExtent l="0" t="0" r="13335" b="3175"/>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60"/>
                    <a:stretch>
                      <a:fillRect/>
                    </a:stretch>
                  </pic:blipFill>
                  <pic:spPr>
                    <a:xfrm>
                      <a:off x="0" y="0"/>
                      <a:ext cx="5606415" cy="725487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2605" cy="7250430"/>
            <wp:effectExtent l="0" t="0" r="17145" b="7620"/>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61"/>
                    <a:stretch>
                      <a:fillRect/>
                    </a:stretch>
                  </pic:blipFill>
                  <pic:spPr>
                    <a:xfrm>
                      <a:off x="0" y="0"/>
                      <a:ext cx="5602605" cy="725043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6415" cy="7254875"/>
            <wp:effectExtent l="0" t="0" r="13335" b="3175"/>
            <wp:docPr id="9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8"/>
                    <pic:cNvPicPr>
                      <a:picLocks noChangeAspect="1"/>
                    </pic:cNvPicPr>
                  </pic:nvPicPr>
                  <pic:blipFill>
                    <a:blip r:embed="rId62"/>
                    <a:stretch>
                      <a:fillRect/>
                    </a:stretch>
                  </pic:blipFill>
                  <pic:spPr>
                    <a:xfrm>
                      <a:off x="0" y="0"/>
                      <a:ext cx="5606415" cy="7254875"/>
                    </a:xfrm>
                    <a:prstGeom prst="rect">
                      <a:avLst/>
                    </a:prstGeom>
                    <a:noFill/>
                    <a:ln>
                      <a:noFill/>
                    </a:ln>
                  </pic:spPr>
                </pic:pic>
              </a:graphicData>
            </a:graphic>
          </wp:inline>
        </w:drawing>
      </w:r>
      <w:bookmarkEnd w:id="120"/>
    </w:p>
    <w:p w14:paraId="3A31A9B6">
      <w:pPr>
        <w:rPr>
          <w:rFonts w:hint="default" w:ascii="Times New Roman" w:hAnsi="Times New Roman" w:cs="Times New Roman"/>
          <w:color w:val="000000" w:themeColor="text1"/>
          <w:highlight w:val="none"/>
          <w14:textFill>
            <w14:solidFill>
              <w14:schemeClr w14:val="tx1"/>
            </w14:solidFill>
          </w14:textFill>
        </w:rPr>
      </w:pPr>
    </w:p>
    <w:p w14:paraId="1E4871A1">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5C3BDE0A">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7FC21A71">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p>
    <w:p w14:paraId="547D6812">
      <w:pPr>
        <w:rPr>
          <w:rFonts w:hint="default" w:ascii="Times New Roman" w:hAnsi="Times New Roman" w:cs="Times New Roman"/>
          <w:color w:val="000000" w:themeColor="text1"/>
          <w:highlight w:val="none"/>
          <w14:textFill>
            <w14:solidFill>
              <w14:schemeClr w14:val="tx1"/>
            </w14:solidFill>
          </w14:textFill>
        </w:rPr>
      </w:pPr>
    </w:p>
    <w:p w14:paraId="6A0E60AA">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449F49B3">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1" w:name="_Toc4825"/>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9"/>
                    <pic:cNvPicPr>
                      <a:picLocks noChangeAspect="1"/>
                    </pic:cNvPicPr>
                  </pic:nvPicPr>
                  <pic:blipFill>
                    <a:blip r:embed="rId63"/>
                    <a:stretch>
                      <a:fillRect/>
                    </a:stretch>
                  </pic:blipFill>
                  <pic:spPr>
                    <a:xfrm>
                      <a:off x="0" y="0"/>
                      <a:ext cx="5608955" cy="7252970"/>
                    </a:xfrm>
                    <a:prstGeom prst="rect">
                      <a:avLst/>
                    </a:prstGeom>
                    <a:noFill/>
                    <a:ln>
                      <a:noFill/>
                    </a:ln>
                  </pic:spPr>
                </pic:pic>
              </a:graphicData>
            </a:graphic>
          </wp:inline>
        </w:drawing>
      </w:r>
      <w:bookmarkEnd w:id="121"/>
    </w:p>
    <w:p w14:paraId="2DDB401B">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2" w:name="_Toc31929"/>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
                    <pic:cNvPicPr>
                      <a:picLocks noChangeAspect="1"/>
                    </pic:cNvPicPr>
                  </pic:nvPicPr>
                  <pic:blipFill>
                    <a:blip r:embed="rId64"/>
                    <a:stretch>
                      <a:fillRect/>
                    </a:stretch>
                  </pic:blipFill>
                  <pic:spPr>
                    <a:xfrm>
                      <a:off x="0" y="0"/>
                      <a:ext cx="5608955" cy="7252970"/>
                    </a:xfrm>
                    <a:prstGeom prst="rect">
                      <a:avLst/>
                    </a:prstGeom>
                    <a:noFill/>
                    <a:ln>
                      <a:noFill/>
                    </a:ln>
                  </pic:spPr>
                </pic:pic>
              </a:graphicData>
            </a:graphic>
          </wp:inline>
        </w:drawing>
      </w:r>
      <w:bookmarkEnd w:id="122"/>
    </w:p>
    <w:p w14:paraId="4F370ABF">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3" w:name="_Toc10335"/>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
                    <pic:cNvPicPr>
                      <a:picLocks noChangeAspect="1"/>
                    </pic:cNvPicPr>
                  </pic:nvPicPr>
                  <pic:blipFill>
                    <a:blip r:embed="rId65"/>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2"/>
                    <pic:cNvPicPr>
                      <a:picLocks noChangeAspect="1"/>
                    </pic:cNvPicPr>
                  </pic:nvPicPr>
                  <pic:blipFill>
                    <a:blip r:embed="rId66"/>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3"/>
                    <pic:cNvPicPr>
                      <a:picLocks noChangeAspect="1"/>
                    </pic:cNvPicPr>
                  </pic:nvPicPr>
                  <pic:blipFill>
                    <a:blip r:embed="rId67"/>
                    <a:stretch>
                      <a:fillRect/>
                    </a:stretch>
                  </pic:blipFill>
                  <pic:spPr>
                    <a:xfrm>
                      <a:off x="0" y="0"/>
                      <a:ext cx="5608955" cy="7252970"/>
                    </a:xfrm>
                    <a:prstGeom prst="rect">
                      <a:avLst/>
                    </a:prstGeom>
                    <a:noFill/>
                    <a:ln>
                      <a:noFill/>
                    </a:ln>
                  </pic:spPr>
                </pic:pic>
              </a:graphicData>
            </a:graphic>
          </wp:inline>
        </w:drawing>
      </w:r>
      <w:bookmarkEnd w:id="123"/>
    </w:p>
    <w:p w14:paraId="0DA43168">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6F082B76">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27782F0D">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48B1CFD4">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687EC424">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623787E5">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07654ED6">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
                    <pic:cNvPicPr>
                      <a:picLocks noChangeAspect="1"/>
                    </pic:cNvPicPr>
                  </pic:nvPicPr>
                  <pic:blipFill>
                    <a:blip r:embed="rId68"/>
                    <a:stretch>
                      <a:fillRect/>
                    </a:stretch>
                  </pic:blipFill>
                  <pic:spPr>
                    <a:xfrm>
                      <a:off x="0" y="0"/>
                      <a:ext cx="5608955" cy="7252970"/>
                    </a:xfrm>
                    <a:prstGeom prst="rect">
                      <a:avLst/>
                    </a:prstGeom>
                    <a:noFill/>
                    <a:ln>
                      <a:noFill/>
                    </a:ln>
                  </pic:spPr>
                </pic:pic>
              </a:graphicData>
            </a:graphic>
          </wp:inline>
        </w:drawing>
      </w:r>
    </w:p>
    <w:p w14:paraId="548E17C5">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5"/>
                    <pic:cNvPicPr>
                      <a:picLocks noChangeAspect="1"/>
                    </pic:cNvPicPr>
                  </pic:nvPicPr>
                  <pic:blipFill>
                    <a:blip r:embed="rId69"/>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6"/>
                    <pic:cNvPicPr>
                      <a:picLocks noChangeAspect="1"/>
                    </pic:cNvPicPr>
                  </pic:nvPicPr>
                  <pic:blipFill>
                    <a:blip r:embed="rId70"/>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
                    <pic:cNvPicPr>
                      <a:picLocks noChangeAspect="1"/>
                    </pic:cNvPicPr>
                  </pic:nvPicPr>
                  <pic:blipFill>
                    <a:blip r:embed="rId71"/>
                    <a:stretch>
                      <a:fillRect/>
                    </a:stretch>
                  </pic:blipFill>
                  <pic:spPr>
                    <a:xfrm>
                      <a:off x="0" y="0"/>
                      <a:ext cx="5608955" cy="7252970"/>
                    </a:xfrm>
                    <a:prstGeom prst="rect">
                      <a:avLst/>
                    </a:prstGeom>
                    <a:noFill/>
                    <a:ln>
                      <a:noFill/>
                    </a:ln>
                  </pic:spPr>
                </pic:pic>
              </a:graphicData>
            </a:graphic>
          </wp:inline>
        </w:drawing>
      </w:r>
    </w:p>
    <w:p w14:paraId="6A32CAF6">
      <w:pPr>
        <w:pStyle w:val="40"/>
        <w:rPr>
          <w:rFonts w:hint="default" w:ascii="Times New Roman" w:hAnsi="Times New Roman" w:cs="Times New Roman"/>
          <w:color w:val="000000" w:themeColor="text1"/>
          <w:highlight w:val="none"/>
          <w14:textFill>
            <w14:solidFill>
              <w14:schemeClr w14:val="tx1"/>
            </w14:solidFill>
          </w14:textFill>
        </w:rPr>
      </w:pPr>
    </w:p>
    <w:p w14:paraId="39A13CDF">
      <w:pPr>
        <w:rPr>
          <w:rFonts w:hint="default" w:ascii="Times New Roman" w:hAnsi="Times New Roman" w:cs="Times New Roman"/>
          <w:color w:val="000000" w:themeColor="text1"/>
          <w:highlight w:val="none"/>
          <w14:textFill>
            <w14:solidFill>
              <w14:schemeClr w14:val="tx1"/>
            </w14:solidFill>
          </w14:textFill>
        </w:rPr>
      </w:pPr>
    </w:p>
    <w:p w14:paraId="79A91A5D">
      <w:pPr>
        <w:pStyle w:val="40"/>
        <w:rPr>
          <w:rFonts w:hint="default" w:ascii="Times New Roman" w:hAnsi="Times New Roman" w:cs="Times New Roman"/>
          <w:color w:val="000000" w:themeColor="text1"/>
          <w:highlight w:val="none"/>
          <w14:textFill>
            <w14:solidFill>
              <w14:schemeClr w14:val="tx1"/>
            </w14:solidFill>
          </w14:textFill>
        </w:rPr>
      </w:pPr>
    </w:p>
    <w:p w14:paraId="67655C71">
      <w:pPr>
        <w:rPr>
          <w:rFonts w:hint="default" w:ascii="Times New Roman" w:hAnsi="Times New Roman" w:cs="Times New Roman"/>
          <w:color w:val="000000" w:themeColor="text1"/>
          <w:highlight w:val="none"/>
          <w14:textFill>
            <w14:solidFill>
              <w14:schemeClr w14:val="tx1"/>
            </w14:solidFill>
          </w14:textFill>
        </w:rPr>
      </w:pPr>
    </w:p>
    <w:p w14:paraId="3698423A">
      <w:pPr>
        <w:pStyle w:val="40"/>
        <w:rPr>
          <w:rFonts w:hint="default" w:ascii="Times New Roman" w:hAnsi="Times New Roman" w:cs="Times New Roman"/>
          <w:color w:val="000000" w:themeColor="text1"/>
          <w:highlight w:val="none"/>
          <w14:textFill>
            <w14:solidFill>
              <w14:schemeClr w14:val="tx1"/>
            </w14:solidFill>
          </w14:textFill>
        </w:rPr>
      </w:pPr>
    </w:p>
    <w:p w14:paraId="0A31897C">
      <w:pPr>
        <w:rPr>
          <w:rFonts w:hint="default" w:ascii="Times New Roman" w:hAnsi="Times New Roman" w:cs="Times New Roman"/>
          <w:color w:val="000000" w:themeColor="text1"/>
          <w:highlight w:val="none"/>
          <w14:textFill>
            <w14:solidFill>
              <w14:schemeClr w14:val="tx1"/>
            </w14:solidFill>
          </w14:textFill>
        </w:rPr>
      </w:pPr>
    </w:p>
    <w:p w14:paraId="2974086E">
      <w:pPr>
        <w:pStyle w:val="40"/>
        <w:rPr>
          <w:rFonts w:hint="default" w:ascii="Times New Roman" w:hAnsi="Times New Roman" w:cs="Times New Roman"/>
          <w:color w:val="000000" w:themeColor="text1"/>
          <w:highlight w:val="none"/>
          <w14:textFill>
            <w14:solidFill>
              <w14:schemeClr w14:val="tx1"/>
            </w14:solidFill>
          </w14:textFill>
        </w:rPr>
      </w:pPr>
    </w:p>
    <w:p w14:paraId="63742825">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8"/>
                    <pic:cNvPicPr>
                      <a:picLocks noChangeAspect="1"/>
                    </pic:cNvPicPr>
                  </pic:nvPicPr>
                  <pic:blipFill>
                    <a:blip r:embed="rId72"/>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9"/>
                    <pic:cNvPicPr>
                      <a:picLocks noChangeAspect="1"/>
                    </pic:cNvPicPr>
                  </pic:nvPicPr>
                  <pic:blipFill>
                    <a:blip r:embed="rId73"/>
                    <a:stretch>
                      <a:fillRect/>
                    </a:stretch>
                  </pic:blipFill>
                  <pic:spPr>
                    <a:xfrm>
                      <a:off x="0" y="0"/>
                      <a:ext cx="5608955" cy="7252970"/>
                    </a:xfrm>
                    <a:prstGeom prst="rect">
                      <a:avLst/>
                    </a:prstGeom>
                    <a:noFill/>
                    <a:ln>
                      <a:noFill/>
                    </a:ln>
                  </pic:spPr>
                </pic:pic>
              </a:graphicData>
            </a:graphic>
          </wp:inline>
        </w:drawing>
      </w:r>
    </w:p>
    <w:p w14:paraId="7A34F884">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pic:cNvPicPr>
                  </pic:nvPicPr>
                  <pic:blipFill>
                    <a:blip r:embed="rId74"/>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1"/>
                    <pic:cNvPicPr>
                      <a:picLocks noChangeAspect="1"/>
                    </pic:cNvPicPr>
                  </pic:nvPicPr>
                  <pic:blipFill>
                    <a:blip r:embed="rId75"/>
                    <a:stretch>
                      <a:fillRect/>
                    </a:stretch>
                  </pic:blipFill>
                  <pic:spPr>
                    <a:xfrm>
                      <a:off x="0" y="0"/>
                      <a:ext cx="5608955" cy="7252970"/>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8955" cy="7252970"/>
            <wp:effectExtent l="0" t="0" r="10795" b="5080"/>
            <wp:docPr id="1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2"/>
                    <pic:cNvPicPr>
                      <a:picLocks noChangeAspect="1"/>
                    </pic:cNvPicPr>
                  </pic:nvPicPr>
                  <pic:blipFill>
                    <a:blip r:embed="rId76"/>
                    <a:stretch>
                      <a:fillRect/>
                    </a:stretch>
                  </pic:blipFill>
                  <pic:spPr>
                    <a:xfrm>
                      <a:off x="0" y="0"/>
                      <a:ext cx="5608955" cy="7252970"/>
                    </a:xfrm>
                    <a:prstGeom prst="rect">
                      <a:avLst/>
                    </a:prstGeom>
                    <a:noFill/>
                    <a:ln>
                      <a:noFill/>
                    </a:ln>
                  </pic:spPr>
                </pic:pic>
              </a:graphicData>
            </a:graphic>
          </wp:inline>
        </w:drawing>
      </w:r>
    </w:p>
    <w:p w14:paraId="5D2EE16E">
      <w:pPr>
        <w:pStyle w:val="40"/>
        <w:rPr>
          <w:rFonts w:hint="default" w:ascii="Times New Roman" w:hAnsi="Times New Roman" w:cs="Times New Roman"/>
          <w:color w:val="000000" w:themeColor="text1"/>
          <w:highlight w:val="none"/>
          <w14:textFill>
            <w14:solidFill>
              <w14:schemeClr w14:val="tx1"/>
            </w14:solidFill>
          </w14:textFill>
        </w:rPr>
      </w:pPr>
    </w:p>
    <w:p w14:paraId="6A8B0E01">
      <w:pPr>
        <w:rPr>
          <w:rFonts w:hint="default" w:ascii="Times New Roman" w:hAnsi="Times New Roman" w:cs="Times New Roman"/>
          <w:color w:val="000000" w:themeColor="text1"/>
          <w:highlight w:val="none"/>
          <w14:textFill>
            <w14:solidFill>
              <w14:schemeClr w14:val="tx1"/>
            </w14:solidFill>
          </w14:textFill>
        </w:rPr>
      </w:pPr>
    </w:p>
    <w:p w14:paraId="73A51C6B">
      <w:pPr>
        <w:pStyle w:val="40"/>
        <w:rPr>
          <w:rFonts w:hint="default" w:ascii="Times New Roman" w:hAnsi="Times New Roman" w:cs="Times New Roman"/>
          <w:color w:val="000000" w:themeColor="text1"/>
          <w:highlight w:val="none"/>
          <w14:textFill>
            <w14:solidFill>
              <w14:schemeClr w14:val="tx1"/>
            </w14:solidFill>
          </w14:textFill>
        </w:rPr>
      </w:pPr>
    </w:p>
    <w:p w14:paraId="20402FD5">
      <w:pPr>
        <w:rPr>
          <w:rFonts w:hint="default" w:ascii="Times New Roman" w:hAnsi="Times New Roman" w:cs="Times New Roman"/>
          <w:color w:val="000000" w:themeColor="text1"/>
          <w:highlight w:val="none"/>
          <w14:textFill>
            <w14:solidFill>
              <w14:schemeClr w14:val="tx1"/>
            </w14:solidFill>
          </w14:textFill>
        </w:rPr>
      </w:pPr>
    </w:p>
    <w:p w14:paraId="5977B4B3">
      <w:pPr>
        <w:pStyle w:val="40"/>
        <w:rPr>
          <w:rFonts w:hint="default" w:ascii="Times New Roman" w:hAnsi="Times New Roman" w:cs="Times New Roman"/>
          <w:color w:val="000000" w:themeColor="text1"/>
          <w:highlight w:val="none"/>
          <w14:textFill>
            <w14:solidFill>
              <w14:schemeClr w14:val="tx1"/>
            </w14:solidFill>
          </w14:textFill>
        </w:rPr>
      </w:pPr>
    </w:p>
    <w:p w14:paraId="605C2B50">
      <w:pPr>
        <w:rPr>
          <w:rFonts w:hint="default" w:ascii="Times New Roman" w:hAnsi="Times New Roman" w:cs="Times New Roman"/>
          <w:color w:val="000000" w:themeColor="text1"/>
          <w:highlight w:val="none"/>
          <w14:textFill>
            <w14:solidFill>
              <w14:schemeClr w14:val="tx1"/>
            </w14:solidFill>
          </w14:textFill>
        </w:rPr>
      </w:pPr>
    </w:p>
    <w:p w14:paraId="4AF698AB">
      <w:pPr>
        <w:pStyle w:val="40"/>
        <w:rPr>
          <w:rFonts w:hint="default" w:ascii="Times New Roman" w:hAnsi="Times New Roman" w:cs="Times New Roman"/>
          <w:color w:val="000000" w:themeColor="text1"/>
          <w:highlight w:val="none"/>
          <w14:textFill>
            <w14:solidFill>
              <w14:schemeClr w14:val="tx1"/>
            </w14:solidFill>
          </w14:textFill>
        </w:rPr>
      </w:pPr>
    </w:p>
    <w:p w14:paraId="714BB494">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7685" cy="7930515"/>
            <wp:effectExtent l="0" t="0" r="12065" b="13335"/>
            <wp:docPr id="11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3"/>
                    <pic:cNvPicPr>
                      <a:picLocks noChangeAspect="1"/>
                    </pic:cNvPicPr>
                  </pic:nvPicPr>
                  <pic:blipFill>
                    <a:blip r:embed="rId77"/>
                    <a:stretch>
                      <a:fillRect/>
                    </a:stretch>
                  </pic:blipFill>
                  <pic:spPr>
                    <a:xfrm>
                      <a:off x="0" y="0"/>
                      <a:ext cx="5607685" cy="7930515"/>
                    </a:xfrm>
                    <a:prstGeom prst="rect">
                      <a:avLst/>
                    </a:prstGeom>
                    <a:noFill/>
                    <a:ln>
                      <a:noFill/>
                    </a:ln>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7685" cy="7930515"/>
            <wp:effectExtent l="0" t="0" r="12065" b="13335"/>
            <wp:docPr id="11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4"/>
                    <pic:cNvPicPr>
                      <a:picLocks noChangeAspect="1"/>
                    </pic:cNvPicPr>
                  </pic:nvPicPr>
                  <pic:blipFill>
                    <a:blip r:embed="rId78"/>
                    <a:stretch>
                      <a:fillRect/>
                    </a:stretch>
                  </pic:blipFill>
                  <pic:spPr>
                    <a:xfrm>
                      <a:off x="0" y="0"/>
                      <a:ext cx="5607685" cy="7930515"/>
                    </a:xfrm>
                    <a:prstGeom prst="rect">
                      <a:avLst/>
                    </a:prstGeom>
                    <a:noFill/>
                    <a:ln>
                      <a:noFill/>
                    </a:ln>
                  </pic:spPr>
                </pic:pic>
              </a:graphicData>
            </a:graphic>
          </wp:inline>
        </w:drawing>
      </w:r>
    </w:p>
    <w:p w14:paraId="005B9784">
      <w:pPr>
        <w:rPr>
          <w:rFonts w:hint="default" w:ascii="Times New Roman" w:hAnsi="Times New Roman" w:cs="Times New Roman"/>
          <w:color w:val="000000" w:themeColor="text1"/>
          <w:highlight w:val="none"/>
          <w14:textFill>
            <w14:solidFill>
              <w14:schemeClr w14:val="tx1"/>
            </w14:solidFill>
          </w14:textFill>
        </w:rPr>
      </w:pPr>
    </w:p>
    <w:p w14:paraId="54D05F45">
      <w:pPr>
        <w:snapToGrid w:val="0"/>
        <w:spacing w:line="440" w:lineRule="exact"/>
        <w:jc w:val="center"/>
        <w:rPr>
          <w:rFonts w:hint="default" w:ascii="Times New Roman" w:hAnsi="Times New Roman" w:eastAsia="黑体" w:cs="Times New Roman"/>
          <w:b/>
          <w:color w:val="000000" w:themeColor="text1"/>
          <w:spacing w:val="-10"/>
          <w:sz w:val="30"/>
          <w:szCs w:val="30"/>
          <w:highlight w:val="none"/>
          <w14:textFill>
            <w14:solidFill>
              <w14:schemeClr w14:val="tx1"/>
            </w14:solidFill>
          </w14:textFill>
        </w:rPr>
      </w:pPr>
    </w:p>
    <w:p w14:paraId="58E3BC5F">
      <w:pPr>
        <w:snapToGrid w:val="0"/>
        <w:spacing w:line="440" w:lineRule="exact"/>
        <w:jc w:val="center"/>
        <w:rPr>
          <w:rFonts w:hint="default" w:ascii="Times New Roman" w:hAnsi="Times New Roman" w:eastAsia="黑体" w:cs="Times New Roman"/>
          <w:b/>
          <w:color w:val="000000" w:themeColor="text1"/>
          <w:spacing w:val="-10"/>
          <w:sz w:val="30"/>
          <w:szCs w:val="30"/>
          <w:highlight w:val="none"/>
          <w14:textFill>
            <w14:solidFill>
              <w14:schemeClr w14:val="tx1"/>
            </w14:solidFill>
          </w14:textFill>
        </w:rPr>
      </w:pPr>
    </w:p>
    <w:p w14:paraId="33BE7CBA">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u w:val="single"/>
          <w14:textFill>
            <w14:solidFill>
              <w14:schemeClr w14:val="tx1"/>
            </w14:solidFill>
          </w14:textFill>
        </w:rPr>
      </w:pPr>
      <w:bookmarkStart w:id="124" w:name="_Toc5771"/>
      <w:r>
        <w:rPr>
          <w:rFonts w:hint="default" w:ascii="Times New Roman" w:hAnsi="Times New Roman" w:eastAsia="方正小标宋_GBK" w:cs="Times New Roman"/>
          <w:snapToGrid w:val="0"/>
          <w:color w:val="000000" w:themeColor="text1"/>
          <w:sz w:val="28"/>
          <w:szCs w:val="28"/>
          <w:highlight w:val="none"/>
          <w:u w:val="single"/>
          <w14:textFill>
            <w14:solidFill>
              <w14:schemeClr w14:val="tx1"/>
            </w14:solidFill>
          </w14:textFill>
        </w:rPr>
        <w:t>附件</w:t>
      </w:r>
      <w:r>
        <w:rPr>
          <w:rFonts w:hint="default" w:ascii="Times New Roman" w:hAnsi="Times New Roman" w:eastAsia="方正小标宋_GBK" w:cs="Times New Roman"/>
          <w:snapToGrid w:val="0"/>
          <w:color w:val="000000" w:themeColor="text1"/>
          <w:sz w:val="28"/>
          <w:szCs w:val="28"/>
          <w:highlight w:val="none"/>
          <w:u w:val="single"/>
          <w14:textFill>
            <w14:solidFill>
              <w14:schemeClr w14:val="tx1"/>
            </w14:solidFill>
          </w14:textFill>
        </w:rPr>
        <w:t>4</w:t>
      </w:r>
      <w:r>
        <w:rPr>
          <w:rFonts w:hint="default" w:ascii="Times New Roman" w:hAnsi="Times New Roman" w:eastAsia="方正小标宋_GBK" w:cs="Times New Roman"/>
          <w:snapToGrid w:val="0"/>
          <w:color w:val="000000" w:themeColor="text1"/>
          <w:sz w:val="28"/>
          <w:szCs w:val="28"/>
          <w:highlight w:val="none"/>
          <w:u w:val="single"/>
          <w14:textFill>
            <w14:solidFill>
              <w14:schemeClr w14:val="tx1"/>
            </w14:solidFill>
          </w14:textFill>
        </w:rPr>
        <w:t xml:space="preserve"> </w:t>
      </w:r>
      <w:r>
        <w:rPr>
          <w:rFonts w:hint="default" w:ascii="Times New Roman" w:hAnsi="Times New Roman" w:eastAsia="方正小标宋_GBK" w:cs="Times New Roman"/>
          <w:snapToGrid w:val="0"/>
          <w:color w:val="000000" w:themeColor="text1"/>
          <w:sz w:val="28"/>
          <w:szCs w:val="28"/>
          <w:highlight w:val="none"/>
          <w:u w:val="single"/>
          <w14:textFill>
            <w14:solidFill>
              <w14:schemeClr w14:val="tx1"/>
            </w14:solidFill>
          </w14:textFill>
        </w:rPr>
        <w:t>专家签名表及专家意见</w:t>
      </w:r>
      <w:bookmarkEnd w:id="124"/>
    </w:p>
    <w:p w14:paraId="2DC3BAD9">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146040" cy="7653655"/>
            <wp:effectExtent l="0" t="0" r="16510" b="4445"/>
            <wp:docPr id="4" name="图片 4" descr="c19999569fda6977342b9ad456af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19999569fda6977342b9ad456af1b0"/>
                    <pic:cNvPicPr>
                      <a:picLocks noChangeAspect="1"/>
                    </pic:cNvPicPr>
                  </pic:nvPicPr>
                  <pic:blipFill>
                    <a:blip r:embed="rId79"/>
                    <a:srcRect t="20030" b="14336"/>
                    <a:stretch>
                      <a:fillRect/>
                    </a:stretch>
                  </pic:blipFill>
                  <pic:spPr>
                    <a:xfrm rot="10800000">
                      <a:off x="0" y="0"/>
                      <a:ext cx="5146040" cy="7653655"/>
                    </a:xfrm>
                    <a:prstGeom prst="rect">
                      <a:avLst/>
                    </a:prstGeom>
                  </pic:spPr>
                </pic:pic>
              </a:graphicData>
            </a:graphic>
          </wp:inline>
        </w:drawing>
      </w:r>
    </w:p>
    <w:p w14:paraId="48E3D10D">
      <w:p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7555230" cy="5080000"/>
            <wp:effectExtent l="0" t="0" r="6350" b="7620"/>
            <wp:docPr id="3" name="图片 3" descr="5612a4954e027369e74770b450250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5612a4954e027369e74770b450250ac"/>
                    <pic:cNvPicPr>
                      <a:picLocks noChangeAspect="1"/>
                    </pic:cNvPicPr>
                  </pic:nvPicPr>
                  <pic:blipFill>
                    <a:blip r:embed="rId80"/>
                    <a:srcRect l="23845" r="10496"/>
                    <a:stretch>
                      <a:fillRect/>
                    </a:stretch>
                  </pic:blipFill>
                  <pic:spPr>
                    <a:xfrm rot="5400000">
                      <a:off x="0" y="0"/>
                      <a:ext cx="7555230" cy="5080000"/>
                    </a:xfrm>
                    <a:prstGeom prst="rect">
                      <a:avLst/>
                    </a:prstGeom>
                  </pic:spPr>
                </pic:pic>
              </a:graphicData>
            </a:graphic>
          </wp:inline>
        </w:drawing>
      </w:r>
      <w:r>
        <w:rPr>
          <w:rFonts w:hint="default" w:ascii="Times New Roman" w:hAnsi="Times New Roman" w:cs="Times New Roman"/>
          <w:color w:val="000000" w:themeColor="text1"/>
          <w:highlight w:val="none"/>
          <w14:textFill>
            <w14:solidFill>
              <w14:schemeClr w14:val="tx1"/>
            </w14:solidFill>
          </w14:textFill>
        </w:rPr>
        <w:br w:type="page"/>
      </w:r>
    </w:p>
    <w:p w14:paraId="66D7BEBB">
      <w:pPr>
        <w:pStyle w:val="4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34990" cy="8023860"/>
            <wp:effectExtent l="0" t="0" r="3810" b="15240"/>
            <wp:docPr id="2" name="图片 2" descr="a14a9bc0e9e8618b4613ed09ec0c8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14a9bc0e9e8618b4613ed09ec0c83e"/>
                    <pic:cNvPicPr>
                      <a:picLocks noChangeAspect="1"/>
                    </pic:cNvPicPr>
                  </pic:nvPicPr>
                  <pic:blipFill>
                    <a:blip r:embed="rId81"/>
                    <a:srcRect t="28820" r="3794" b="10718"/>
                    <a:stretch>
                      <a:fillRect/>
                    </a:stretch>
                  </pic:blipFill>
                  <pic:spPr>
                    <a:xfrm>
                      <a:off x="0" y="0"/>
                      <a:ext cx="5634990" cy="8023860"/>
                    </a:xfrm>
                    <a:prstGeom prst="rect">
                      <a:avLst/>
                    </a:prstGeom>
                  </pic:spPr>
                </pic:pic>
              </a:graphicData>
            </a:graphic>
          </wp:inline>
        </w:drawing>
      </w:r>
    </w:p>
    <w:p w14:paraId="7DBCF20F">
      <w:pPr>
        <w:rPr>
          <w:rFonts w:hint="default" w:ascii="Times New Roman" w:hAnsi="Times New Roman" w:cs="Times New Roman"/>
          <w:color w:val="000000" w:themeColor="text1"/>
          <w:highlight w:val="none"/>
          <w14:textFill>
            <w14:solidFill>
              <w14:schemeClr w14:val="tx1"/>
            </w14:solidFill>
          </w14:textFill>
        </w:rPr>
      </w:pPr>
    </w:p>
    <w:p w14:paraId="549F1964">
      <w:pPr>
        <w:pStyle w:val="40"/>
        <w:rPr>
          <w:rFonts w:hint="default" w:ascii="Times New Roman" w:hAnsi="Times New Roman" w:cs="Times New Roman"/>
          <w:color w:val="000000" w:themeColor="text1"/>
          <w:highlight w:val="none"/>
          <w14:textFill>
            <w14:solidFill>
              <w14:schemeClr w14:val="tx1"/>
            </w14:solidFill>
          </w14:textFill>
        </w:rPr>
      </w:pPr>
    </w:p>
    <w:p w14:paraId="769DF98D">
      <w:pPr>
        <w:rPr>
          <w:rFonts w:hint="default" w:ascii="Times New Roman" w:hAnsi="Times New Roman" w:cs="Times New Roman"/>
          <w:color w:val="000000" w:themeColor="text1"/>
          <w:highlight w:val="none"/>
          <w14:textFill>
            <w14:solidFill>
              <w14:schemeClr w14:val="tx1"/>
            </w14:solidFill>
          </w14:textFill>
        </w:rPr>
        <w:sectPr>
          <w:footerReference r:id="rId8" w:type="default"/>
          <w:pgSz w:w="11905" w:h="16838"/>
          <w:pgMar w:top="1701" w:right="1531" w:bottom="1701" w:left="1531" w:header="851" w:footer="850" w:gutter="0"/>
          <w:cols w:space="0" w:num="1"/>
          <w:docGrid w:linePitch="312" w:charSpace="0"/>
        </w:sectPr>
      </w:pPr>
    </w:p>
    <w:p w14:paraId="257B8977">
      <w:pPr>
        <w:rPr>
          <w:rFonts w:hint="default" w:ascii="Times New Roman" w:hAnsi="Times New Roman" w:cs="Times New Roman"/>
          <w:color w:val="000000" w:themeColor="text1"/>
          <w:highlight w:val="none"/>
          <w14:textFill>
            <w14:solidFill>
              <w14:schemeClr w14:val="tx1"/>
            </w14:solidFill>
          </w14:textFill>
        </w:rPr>
      </w:pPr>
    </w:p>
    <w:p w14:paraId="0F555BCC">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5" w:name="_Toc12770"/>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附图</w:t>
      </w:r>
      <w:bookmarkEnd w:id="125"/>
    </w:p>
    <w:p w14:paraId="58AF521C">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6" w:name="_Toc17084"/>
      <w:r>
        <w:rPr>
          <w:rFonts w:hint="default" w:ascii="Times New Roman" w:hAnsi="Times New Roman" w:cs="Times New Roman"/>
          <w:color w:val="000000" w:themeColor="text1"/>
          <w:highlight w:val="none"/>
          <w14:textFill>
            <w14:solidFill>
              <w14:schemeClr w14:val="tx1"/>
            </w14:solidFill>
          </w14:textFill>
        </w:rPr>
        <w:drawing>
          <wp:anchor distT="0" distB="0" distL="114935" distR="114935" simplePos="0" relativeHeight="251664384" behindDoc="0" locked="0" layoutInCell="1" allowOverlap="1">
            <wp:simplePos x="0" y="0"/>
            <wp:positionH relativeFrom="column">
              <wp:posOffset>6699885</wp:posOffset>
            </wp:positionH>
            <wp:positionV relativeFrom="paragraph">
              <wp:posOffset>242570</wp:posOffset>
            </wp:positionV>
            <wp:extent cx="814070" cy="736600"/>
            <wp:effectExtent l="0" t="0" r="5080" b="6350"/>
            <wp:wrapNone/>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82"/>
                    <a:stretch>
                      <a:fillRect/>
                    </a:stretch>
                  </pic:blipFill>
                  <pic:spPr>
                    <a:xfrm>
                      <a:off x="0" y="0"/>
                      <a:ext cx="814070" cy="736600"/>
                    </a:xfrm>
                    <a:prstGeom prst="rect">
                      <a:avLst/>
                    </a:prstGeom>
                    <a:noFill/>
                    <a:ln>
                      <a:noFill/>
                    </a:ln>
                  </pic:spPr>
                </pic:pic>
              </a:graphicData>
            </a:graphic>
          </wp:anchor>
        </w:drawing>
      </w:r>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附图1 建设项目地理位置图</w:t>
      </w:r>
      <w:bookmarkEnd w:id="126"/>
    </w:p>
    <w:p w14:paraId="58EDF46E">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7" w:name="_Toc27195"/>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7641590" cy="4694555"/>
            <wp:effectExtent l="0" t="0" r="16510" b="10795"/>
            <wp:docPr id="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4"/>
                    <pic:cNvPicPr>
                      <a:picLocks noChangeAspect="1"/>
                    </pic:cNvPicPr>
                  </pic:nvPicPr>
                  <pic:blipFill>
                    <a:blip r:embed="rId83"/>
                    <a:stretch>
                      <a:fillRect/>
                    </a:stretch>
                  </pic:blipFill>
                  <pic:spPr>
                    <a:xfrm>
                      <a:off x="0" y="0"/>
                      <a:ext cx="7641590" cy="4694555"/>
                    </a:xfrm>
                    <a:prstGeom prst="rect">
                      <a:avLst/>
                    </a:prstGeom>
                    <a:noFill/>
                    <a:ln>
                      <a:noFill/>
                    </a:ln>
                  </pic:spPr>
                </pic:pic>
              </a:graphicData>
            </a:graphic>
          </wp:inline>
        </w:drawing>
      </w:r>
      <w:r>
        <w:rPr>
          <w:rFonts w:hint="default" w:ascii="Times New Roman" w:hAnsi="Times New Roman" w:cs="Times New Roman"/>
          <w:color w:val="000000" w:themeColor="text1"/>
          <w:sz w:val="28"/>
          <w:highlight w:val="none"/>
          <w14:textFill>
            <w14:solidFill>
              <w14:schemeClr w14:val="tx1"/>
            </w14:solidFill>
          </w14:textFill>
        </w:rPr>
        <mc:AlternateContent>
          <mc:Choice Requires="wpg">
            <w:drawing>
              <wp:anchor distT="0" distB="0" distL="114300" distR="114300" simplePos="0" relativeHeight="251668480" behindDoc="0" locked="0" layoutInCell="1" allowOverlap="1">
                <wp:simplePos x="0" y="0"/>
                <wp:positionH relativeFrom="column">
                  <wp:posOffset>3709035</wp:posOffset>
                </wp:positionH>
                <wp:positionV relativeFrom="paragraph">
                  <wp:posOffset>2592705</wp:posOffset>
                </wp:positionV>
                <wp:extent cx="1006475" cy="418465"/>
                <wp:effectExtent l="12700" t="4445" r="9525" b="15240"/>
                <wp:wrapNone/>
                <wp:docPr id="134" name="组合 134"/>
                <wp:cNvGraphicFramePr/>
                <a:graphic xmlns:a="http://schemas.openxmlformats.org/drawingml/2006/main">
                  <a:graphicData uri="http://schemas.microsoft.com/office/word/2010/wordprocessingGroup">
                    <wpg:wgp>
                      <wpg:cNvGrpSpPr/>
                      <wpg:grpSpPr>
                        <a:xfrm>
                          <a:off x="0" y="0"/>
                          <a:ext cx="1006475" cy="418465"/>
                          <a:chOff x="6100" y="2051491"/>
                          <a:chExt cx="1585" cy="659"/>
                        </a:xfrm>
                      </wpg:grpSpPr>
                      <wps:wsp>
                        <wps:cNvPr id="29" name="矩形标注 14"/>
                        <wps:cNvSpPr/>
                        <wps:spPr>
                          <a:xfrm>
                            <a:off x="6223" y="2051491"/>
                            <a:ext cx="1462" cy="421"/>
                          </a:xfrm>
                          <a:prstGeom prst="wedgeRectCallout">
                            <a:avLst>
                              <a:gd name="adj1" fmla="val -53077"/>
                              <a:gd name="adj2" fmla="val 99168"/>
                            </a:avLst>
                          </a:prstGeom>
                          <a:noFill/>
                          <a:ln w="3175">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ABCD58">
                              <w:pPr>
                                <w:jc w:val="center"/>
                                <w:rPr>
                                  <w:b/>
                                  <w:bCs/>
                                  <w:color w:val="0000FF"/>
                                </w:rPr>
                              </w:pPr>
                              <w:r>
                                <w:rPr>
                                  <w:rFonts w:hint="eastAsia"/>
                                  <w:b/>
                                  <w:bCs/>
                                  <w:color w:val="0000FF"/>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3" name="矩形 133"/>
                        <wps:cNvSpPr/>
                        <wps:spPr>
                          <a:xfrm>
                            <a:off x="6100" y="2052088"/>
                            <a:ext cx="62" cy="62"/>
                          </a:xfrm>
                          <a:prstGeom prst="rect">
                            <a:avLst/>
                          </a:prstGeom>
                          <a:ln>
                            <a:solidFill>
                              <a:srgbClr val="0000FF"/>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2.05pt;margin-top:204.15pt;height:32.95pt;width:79.25pt;z-index:251668480;mso-width-relative:page;mso-height-relative:page;" coordorigin="6100,2051491" coordsize="1585,659" o:gfxdata="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">
                <o:lock v:ext="edit" aspectratio="f"/>
                <v:shape id="矩形标注 14" o:spid="_x0000_s1026" o:spt="61" type="#_x0000_t61" style="position:absolute;left:6223;top:2051491;height:421;width:1462;v-text-anchor:middle;" filled="f" stroked="t" coordsize="21600,21600" o:gfxdata="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qpGK/&#10;AAAA2wAAAA8AAAAAAAAAAQAgAAAAIgAAAGRycy9kb3ducmV2LnhtbFBLAQIUABQAAAAIAIdO4kAz&#10;LwWeOwAAADkAAAAQAAAAAAAAAAEAIAAAAA4BAABkcnMvc2hhcGV4bWwueG1sUEsFBgAAAAAGAAYA&#10;WwEAALgDAAAAAA==&#10;" adj="-665,32220">
                  <v:fill on="f" focussize="0,0"/>
                  <v:stroke weight="0.25pt" color="#0000FF [3204]" joinstyle="round"/>
                  <v:imagedata o:title=""/>
                  <o:lock v:ext="edit" aspectratio="f"/>
                  <v:textbox>
                    <w:txbxContent>
                      <w:p w14:paraId="12ABCD58">
                        <w:pPr>
                          <w:jc w:val="center"/>
                          <w:rPr>
                            <w:b/>
                            <w:bCs/>
                            <w:color w:val="0000FF"/>
                          </w:rPr>
                        </w:pPr>
                        <w:r>
                          <w:rPr>
                            <w:rFonts w:hint="eastAsia"/>
                            <w:b/>
                            <w:bCs/>
                            <w:color w:val="0000FF"/>
                          </w:rPr>
                          <w:t>项目所在地</w:t>
                        </w:r>
                      </w:p>
                    </w:txbxContent>
                  </v:textbox>
                </v:shape>
                <v:rect id="_x0000_s1026" o:spid="_x0000_s1026" o:spt="1" style="position:absolute;left:6100;top:2052088;height:62;width:62;v-text-anchor:middle;" fillcolor="#4F81BD [3204]" filled="t" stroked="t" coordsize="21600,21600" o:gfxdata="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NCynvQAA&#10;ANwAAAAPAAAAAAAAAAEAIAAAACIAAABkcnMvZG93bnJldi54bWxQSwECFAAUAAAACACHTuJAMy8F&#10;njsAAAA5AAAAEAAAAAAAAAABACAAAAAMAQAAZHJzL3NoYXBleG1sLnhtbFBLBQYAAAAABgAGAFsB&#10;AAC2AwAAAAA=&#10;">
                  <v:fill on="t" focussize="0,0"/>
                  <v:stroke weight="2pt" color="#0000FF [2404]" joinstyle="round"/>
                  <v:imagedata o:title=""/>
                  <o:lock v:ext="edit" aspectratio="f"/>
                </v:rect>
              </v:group>
            </w:pict>
          </mc:Fallback>
        </mc:AlternateContent>
      </w:r>
      <w:bookmarkEnd w:id="127"/>
    </w:p>
    <w:p w14:paraId="3BC70E42">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5E7ABBD6">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2584F3FC">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28" w:name="_Toc7560"/>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附图2 环境敏感目标图</w:t>
      </w:r>
      <w:bookmarkEnd w:id="128"/>
    </w:p>
    <w:p w14:paraId="7890CBF5">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sectPr>
          <w:pgSz w:w="16838" w:h="11905" w:orient="landscape"/>
          <w:pgMar w:top="1531" w:right="1701" w:bottom="1531" w:left="1701" w:header="851" w:footer="850" w:gutter="0"/>
          <w:cols w:space="0" w:num="1"/>
          <w:docGrid w:linePitch="312" w:charSpace="0"/>
        </w:sectPr>
      </w:pPr>
      <w:bookmarkStart w:id="129" w:name="_Toc7799"/>
      <w:r>
        <w:rPr>
          <w:rFonts w:hint="default" w:ascii="Times New Roman" w:hAnsi="Times New Roman" w:cs="Times New Roman"/>
          <w:color w:val="000000" w:themeColor="text1"/>
          <w:highlight w:val="none"/>
          <w14:textFill>
            <w14:solidFill>
              <w14:schemeClr w14:val="tx1"/>
            </w14:solidFill>
          </w14:textFill>
        </w:rPr>
        <w:drawing>
          <wp:anchor distT="0" distB="0" distL="114935" distR="114935" simplePos="0" relativeHeight="251665408" behindDoc="0" locked="0" layoutInCell="1" allowOverlap="1">
            <wp:simplePos x="0" y="0"/>
            <wp:positionH relativeFrom="column">
              <wp:posOffset>6538595</wp:posOffset>
            </wp:positionH>
            <wp:positionV relativeFrom="paragraph">
              <wp:posOffset>45720</wp:posOffset>
            </wp:positionV>
            <wp:extent cx="736600" cy="736600"/>
            <wp:effectExtent l="0" t="0" r="0" b="0"/>
            <wp:wrapNone/>
            <wp:docPr id="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
                    <pic:cNvPicPr>
                      <a:picLocks noChangeAspect="1"/>
                    </pic:cNvPicPr>
                  </pic:nvPicPr>
                  <pic:blipFill>
                    <a:blip r:embed="rId82"/>
                    <a:stretch>
                      <a:fillRect/>
                    </a:stretch>
                  </pic:blipFill>
                  <pic:spPr>
                    <a:xfrm>
                      <a:off x="0" y="0"/>
                      <a:ext cx="736600" cy="736600"/>
                    </a:xfrm>
                    <a:prstGeom prst="rect">
                      <a:avLst/>
                    </a:prstGeom>
                    <a:noFill/>
                    <a:ln>
                      <a:noFill/>
                    </a:ln>
                  </pic:spPr>
                </pic:pic>
              </a:graphicData>
            </a:graphic>
          </wp:anchor>
        </w:drawing>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7298055" cy="4940935"/>
            <wp:effectExtent l="0" t="0" r="17145" b="12065"/>
            <wp:docPr id="13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7"/>
                    <pic:cNvPicPr>
                      <a:picLocks noChangeAspect="1"/>
                    </pic:cNvPicPr>
                  </pic:nvPicPr>
                  <pic:blipFill>
                    <a:blip r:embed="rId84"/>
                    <a:stretch>
                      <a:fillRect/>
                    </a:stretch>
                  </pic:blipFill>
                  <pic:spPr>
                    <a:xfrm>
                      <a:off x="0" y="0"/>
                      <a:ext cx="7298055" cy="4940935"/>
                    </a:xfrm>
                    <a:prstGeom prst="rect">
                      <a:avLst/>
                    </a:prstGeom>
                    <a:noFill/>
                    <a:ln>
                      <a:noFill/>
                    </a:ln>
                  </pic:spPr>
                </pic:pic>
              </a:graphicData>
            </a:graphic>
          </wp:inline>
        </w:drawing>
      </w:r>
      <w:bookmarkEnd w:id="129"/>
    </w:p>
    <w:p w14:paraId="65ED65CC">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p>
    <w:p w14:paraId="5F671D3F">
      <w:pPr>
        <w:pStyle w:val="30"/>
        <w:adjustRightInd w:val="0"/>
        <w:snapToGrid w:val="0"/>
        <w:spacing w:before="0" w:beforeAutospacing="0" w:after="0" w:afterAutospacing="0"/>
        <w:outlineLvl w:val="0"/>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pPr>
      <w:bookmarkStart w:id="130" w:name="_Toc17044"/>
      <w:r>
        <w:rPr>
          <w:rFonts w:hint="default" w:ascii="Times New Roman" w:hAnsi="Times New Roman" w:eastAsia="方正小标宋_GBK" w:cs="Times New Roman"/>
          <w:snapToGrid w:val="0"/>
          <w:color w:val="000000" w:themeColor="text1"/>
          <w:sz w:val="28"/>
          <w:szCs w:val="28"/>
          <w:highlight w:val="none"/>
          <w14:textFill>
            <w14:solidFill>
              <w14:schemeClr w14:val="tx1"/>
            </w14:solidFill>
          </w14:textFill>
        </w:rPr>
        <w:t>附图3 土地利用地规划图</w:t>
      </w:r>
      <w:bookmarkEnd w:id="130"/>
    </w:p>
    <w:p w14:paraId="6F90563A">
      <w:pPr>
        <w:pStyle w:val="30"/>
        <w:adjustRightInd w:val="0"/>
        <w:snapToGrid w:val="0"/>
        <w:spacing w:before="0" w:beforeAutospacing="0" w:after="0" w:afterAutospacing="0"/>
        <w:outlineLvl w:val="0"/>
        <w:rPr>
          <w:rFonts w:hint="default" w:ascii="Times New Roman" w:hAnsi="Times New Roman" w:cs="Times New Roman"/>
          <w:color w:val="000000" w:themeColor="text1"/>
          <w:highlight w:val="none"/>
          <w14:textFill>
            <w14:solidFill>
              <w14:schemeClr w14:val="tx1"/>
            </w14:solidFill>
          </w14:textFill>
        </w:rPr>
      </w:pPr>
      <w:bookmarkStart w:id="131" w:name="_Toc15151"/>
      <w:r>
        <w:rPr>
          <w:rFonts w:hint="default" w:ascii="Times New Roman" w:hAnsi="Times New Roman" w:cs="Times New Roman"/>
          <w:color w:val="000000" w:themeColor="text1"/>
          <w:sz w:val="28"/>
          <w:highlight w:val="none"/>
          <w14:textFill>
            <w14:solidFill>
              <w14:schemeClr w14:val="tx1"/>
            </w14:solidFill>
          </w14:textFill>
        </w:rPr>
        <mc:AlternateContent>
          <mc:Choice Requires="wpg">
            <w:drawing>
              <wp:anchor distT="0" distB="0" distL="114300" distR="114300" simplePos="0" relativeHeight="251661312" behindDoc="0" locked="0" layoutInCell="1" allowOverlap="1">
                <wp:simplePos x="0" y="0"/>
                <wp:positionH relativeFrom="column">
                  <wp:posOffset>2950210</wp:posOffset>
                </wp:positionH>
                <wp:positionV relativeFrom="paragraph">
                  <wp:posOffset>4459605</wp:posOffset>
                </wp:positionV>
                <wp:extent cx="964565" cy="373380"/>
                <wp:effectExtent l="12700" t="12700" r="13335" b="20320"/>
                <wp:wrapNone/>
                <wp:docPr id="18" name="组合 18"/>
                <wp:cNvGraphicFramePr/>
                <a:graphic xmlns:a="http://schemas.openxmlformats.org/drawingml/2006/main">
                  <a:graphicData uri="http://schemas.microsoft.com/office/word/2010/wordprocessingGroup">
                    <wpg:wgp>
                      <wpg:cNvGrpSpPr/>
                      <wpg:grpSpPr>
                        <a:xfrm>
                          <a:off x="0" y="0"/>
                          <a:ext cx="964565" cy="373380"/>
                          <a:chOff x="4278" y="1379811"/>
                          <a:chExt cx="1519" cy="588"/>
                        </a:xfrm>
                      </wpg:grpSpPr>
                      <wps:wsp>
                        <wps:cNvPr id="9" name="圆角矩形 9"/>
                        <wps:cNvSpPr/>
                        <wps:spPr>
                          <a:xfrm>
                            <a:off x="5679" y="1380281"/>
                            <a:ext cx="119" cy="119"/>
                          </a:xfrm>
                          <a:prstGeom prst="round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 name="矩形标注 14"/>
                        <wps:cNvSpPr/>
                        <wps:spPr>
                          <a:xfrm>
                            <a:off x="4278" y="1379811"/>
                            <a:ext cx="1462" cy="421"/>
                          </a:xfrm>
                          <a:prstGeom prst="wedgeRectCallout">
                            <a:avLst>
                              <a:gd name="adj1" fmla="val 43989"/>
                              <a:gd name="adj2" fmla="val 7375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C1EF98">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32.3pt;margin-top:351.15pt;height:29.4pt;width:75.95pt;z-index:251661312;mso-width-relative:page;mso-height-relative:page;" coordorigin="4278,1379811" coordsize="1519,588" o:gfxdata="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MyuvANsAAAALAQAADwAAAAAA&#10;AAABACAAAAAiAAAAZHJzL2Rvd25yZXYueG1sUEsBAhQAFAAAAAgAh07iQB8/muxmAwAAZgkAAA4A&#10;AAAAAAAAAQAgAAAAKgEAAGRycy9lMm9Eb2MueG1sUEsFBgAAAAAGAAYAWQEAAAIHAAAAAA==&#10;">
                <o:lock v:ext="edit" aspectratio="f"/>
                <v:roundrect id="_x0000_s1026" o:spid="_x0000_s1026" o:spt="2" style="position:absolute;left:5679;top:1380281;height:119;width:119;v-text-anchor:middle;" fillcolor="#000000 [3213]" filled="t" stroked="t" coordsize="21600,21600" arcsize="0.166666666666667" o:gfxdata="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sB4b6LUAAADaAAAADwAA&#10;AAAAAAABACAAAAAiAAAAZHJzL2Rvd25yZXYueG1sUEsBAhQAFAAAAAgAh07iQDMvBZ47AAAAOQAA&#10;ABAAAAAAAAAAAQAgAAAABAEAAGRycy9zaGFwZXhtbC54bWxQSwUGAAAAAAYABgBbAQAArgMAAAAA&#10;">
                  <v:fill on="t" focussize="0,0"/>
                  <v:stroke weight="2pt" color="#000000 [3213]" joinstyle="round"/>
                  <v:imagedata o:title=""/>
                  <o:lock v:ext="edit" aspectratio="f"/>
                </v:roundrect>
                <v:shape id="_x0000_s1026" o:spid="_x0000_s1026" o:spt="61" type="#_x0000_t61" style="position:absolute;left:4278;top:1379811;height:421;width:1462;v-text-anchor:middle;" filled="f" stroked="t" coordsize="21600,21600" o:gfxdata="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lBGwugAAANsA&#10;AAAPAAAAAAAAAAEAIAAAACIAAABkcnMvZG93bnJldi54bWxQSwECFAAUAAAACACHTuJAMy8FnjsA&#10;AAA5AAAAEAAAAAAAAAABACAAAAAJAQAAZHJzL3NoYXBleG1sLnhtbFBLBQYAAAAABgAGAFsBAACz&#10;AwAAAAA=&#10;" adj="20302,26730">
                  <v:fill on="f" focussize="0,0"/>
                  <v:stroke weight="2pt" color="#000000 [3213]" joinstyle="round"/>
                  <v:imagedata o:title=""/>
                  <o:lock v:ext="edit" aspectratio="f"/>
                  <v:textbox>
                    <w:txbxContent>
                      <w:p w14:paraId="3DC1EF98">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项目所在地</w:t>
                        </w:r>
                      </w:p>
                    </w:txbxContent>
                  </v:textbox>
                </v:shape>
              </v:group>
            </w:pict>
          </mc:Fallback>
        </mc:AlternateContent>
      </w:r>
      <w:r>
        <w:rPr>
          <w:rFonts w:hint="default" w:ascii="Times New Roman" w:hAnsi="Times New Roman" w:cs="Times New Roman"/>
          <w:color w:val="000000" w:themeColor="text1"/>
          <w:sz w:val="28"/>
          <w:highlight w:val="none"/>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1581785</wp:posOffset>
                </wp:positionH>
                <wp:positionV relativeFrom="paragraph">
                  <wp:posOffset>7185025</wp:posOffset>
                </wp:positionV>
                <wp:extent cx="1891030" cy="190500"/>
                <wp:effectExtent l="12700" t="12700" r="13970" b="12700"/>
                <wp:wrapNone/>
                <wp:docPr id="24" name="矩形 24"/>
                <wp:cNvGraphicFramePr/>
                <a:graphic xmlns:a="http://schemas.openxmlformats.org/drawingml/2006/main">
                  <a:graphicData uri="http://schemas.microsoft.com/office/word/2010/wordprocessingShape">
                    <wps:wsp>
                      <wps:cNvSpPr/>
                      <wps:spPr>
                        <a:xfrm>
                          <a:off x="2553970" y="8874760"/>
                          <a:ext cx="189103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4.55pt;margin-top:565.75pt;height:15pt;width:148.9pt;z-index:251663360;v-text-anchor:middle;mso-width-relative:page;mso-height-relative:page;" fillcolor="#FFFFFF [3212]" filled="t" stroked="t" coordsize="21600,21600" o:gfxdata="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REtmXbAAAADQEAAA8AAAAAAAAAAQAgAAAAIgAAAGRycy9kb3ducmV2&#10;LnhtbFBLAQIUABQAAAAIAIdO4kCRO8K2awIAAOsEAAAOAAAAAAAAAAEAIAAAACoBAABkcnMvZTJv&#10;RG9jLnhtbFBLBQYAAAAABgAGAFkBAAAHBgAAAAA=&#10;">
                <v:fill on="t" focussize="0,0"/>
                <v:stroke weight="2pt" color="#FFFFFF [3212]" joinstyle="round"/>
                <v:imagedata o:title=""/>
                <o:lock v:ext="edit" aspectratio="f"/>
              </v:rect>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600700" cy="7728585"/>
            <wp:effectExtent l="0" t="0" r="0" b="5715"/>
            <wp:docPr id="13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5"/>
                    <pic:cNvPicPr>
                      <a:picLocks noChangeAspect="1"/>
                    </pic:cNvPicPr>
                  </pic:nvPicPr>
                  <pic:blipFill>
                    <a:blip r:embed="rId85"/>
                    <a:stretch>
                      <a:fillRect/>
                    </a:stretch>
                  </pic:blipFill>
                  <pic:spPr>
                    <a:xfrm>
                      <a:off x="0" y="0"/>
                      <a:ext cx="5600700" cy="7728585"/>
                    </a:xfrm>
                    <a:prstGeom prst="rect">
                      <a:avLst/>
                    </a:prstGeom>
                    <a:noFill/>
                    <a:ln>
                      <a:noFill/>
                    </a:ln>
                  </pic:spPr>
                </pic:pic>
              </a:graphicData>
            </a:graphic>
          </wp:inline>
        </w:drawing>
      </w:r>
      <w:bookmarkEnd w:id="131"/>
    </w:p>
    <w:p w14:paraId="3FF63CBF">
      <w:pPr>
        <w:rPr>
          <w:rFonts w:hint="default" w:ascii="Times New Roman" w:hAnsi="Times New Roman" w:cs="Times New Roman"/>
          <w:color w:val="000000" w:themeColor="text1"/>
          <w:highlight w:val="none"/>
          <w14:textFill>
            <w14:solidFill>
              <w14:schemeClr w14:val="tx1"/>
            </w14:solidFill>
          </w14:textFill>
        </w:rPr>
      </w:pPr>
    </w:p>
    <w:sectPr>
      <w:pgSz w:w="11905" w:h="16838"/>
      <w:pgMar w:top="1701" w:right="1531" w:bottom="1701" w:left="1531" w:header="851" w:footer="850"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方正小标宋_GBK">
    <w:altName w:val="微软雅黑"/>
    <w:panose1 w:val="00000000000000000000"/>
    <w:charset w:val="86"/>
    <w:family w:val="script"/>
    <w:pitch w:val="default"/>
    <w:sig w:usb0="00000000" w:usb1="00000000" w:usb2="00082016" w:usb3="00000000" w:csb0="00040001"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86"/>
    <w:family w:val="auto"/>
    <w:pitch w:val="default"/>
    <w:sig w:usb0="00000000" w:usb1="00000000" w:usb2="00000010" w:usb3="00000000" w:csb0="00040001" w:csb1="00000000"/>
  </w:font>
  <w:font w:name="MS Mincho">
    <w:altName w:val="Kozuka Mincho Pr6N M"/>
    <w:panose1 w:val="02020609040205080304"/>
    <w:charset w:val="80"/>
    <w:family w:val="modern"/>
    <w:pitch w:val="default"/>
    <w:sig w:usb0="00000000" w:usb1="00000000" w:usb2="08000012" w:usb3="00000000" w:csb0="0002009F" w:csb1="00000000"/>
  </w:font>
  <w:font w:name="Kozuka Mincho Pr6N M">
    <w:panose1 w:val="02020600000000000000"/>
    <w:charset w:val="80"/>
    <w:family w:val="auto"/>
    <w:pitch w:val="default"/>
    <w:sig w:usb0="000002D7" w:usb1="2AC71C11" w:usb2="00000012" w:usb3="00000000" w:csb0="2002009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B7C9E">
    <w:pPr>
      <w:pStyle w:val="2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AAAA6B">
    <w:pPr>
      <w:pStyle w:val="26"/>
      <w:framePr w:wrap="around" w:vAnchor="text" w:hAnchor="margin" w:xAlign="center" w:y="1"/>
      <w:rPr>
        <w:rStyle w:val="37"/>
      </w:rPr>
    </w:pPr>
    <w:r>
      <w:fldChar w:fldCharType="begin"/>
    </w:r>
    <w:r>
      <w:rPr>
        <w:rStyle w:val="37"/>
      </w:rPr>
      <w:instrText xml:space="preserve">PAGE  </w:instrText>
    </w:r>
    <w:r>
      <w:fldChar w:fldCharType="end"/>
    </w:r>
  </w:p>
  <w:p w14:paraId="6058A2C3">
    <w:pPr>
      <w:pStyle w:val="2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6221B1">
    <w:pPr>
      <w:pStyle w:val="26"/>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C95CBA">
                          <w:pPr>
                            <w:pStyle w:val="2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AsRGw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ACxEbCwCAABXBAAADgAAAAAAAAABACAAAAAfAQAAZHJzL2Uyb0RvYy54bWxQSwUGAAAAAAYA&#10;BgBZAQAAvQUAAAAA&#10;">
              <v:fill on="f" focussize="0,0"/>
              <v:stroke on="f" weight="0.5pt"/>
              <v:imagedata o:title=""/>
              <o:lock v:ext="edit" aspectratio="f"/>
              <v:textbox inset="0mm,0mm,0mm,0mm" style="mso-fit-shape-to-text:t;">
                <w:txbxContent>
                  <w:p w14:paraId="7EC95CBA">
                    <w:pPr>
                      <w:pStyle w:val="2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C459E0">
    <w:pPr>
      <w:pStyle w:val="26"/>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EBF39F">
                          <w:pPr>
                            <w:pStyle w:val="26"/>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hhFywtAgAAVw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hhFywtAgAAVwQAAA4AAAAAAAAAAQAgAAAAHwEAAGRycy9lMm9Eb2MueG1sUEsFBgAAAAAG&#10;AAYAWQEAAL4FAAAAAA==&#10;">
              <v:fill on="f" focussize="0,0"/>
              <v:stroke on="f" weight="0.5pt"/>
              <v:imagedata o:title=""/>
              <o:lock v:ext="edit" aspectratio="f"/>
              <v:textbox inset="0mm,0mm,0mm,0mm" style="mso-fit-shape-to-text:t;">
                <w:txbxContent>
                  <w:p w14:paraId="63EBF39F">
                    <w:pPr>
                      <w:pStyle w:val="26"/>
                    </w:pPr>
                    <w:r>
                      <w:fldChar w:fldCharType="begin"/>
                    </w:r>
                    <w:r>
                      <w:instrText xml:space="preserve"> PAGE  \* MERGEFORMAT </w:instrText>
                    </w:r>
                    <w:r>
                      <w:fldChar w:fldCharType="separate"/>
                    </w:r>
                    <w:r>
                      <w:t>14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6E459">
    <w:pPr>
      <w:pStyle w:val="26"/>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8ABE8D">
                          <w:pPr>
                            <w:pStyle w:val="26"/>
                          </w:pPr>
                          <w:r>
                            <w:fldChar w:fldCharType="begin"/>
                          </w:r>
                          <w:r>
                            <w:instrText xml:space="preserve"> PAGE  \* MERGEFORMAT </w:instrText>
                          </w:r>
                          <w:r>
                            <w:fldChar w:fldCharType="separate"/>
                          </w:r>
                          <w:r>
                            <w:t>67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UMwDbKwIAAFcEAAAOAAAAAAAAAAEAIAAAAB8BAABkcnMvZTJvRG9jLnhtbFBLBQYAAAAABgAG&#10;AFkBAAC8BQAAAAA=&#10;">
              <v:fill on="f" focussize="0,0"/>
              <v:stroke on="f" weight="0.5pt"/>
              <v:imagedata o:title=""/>
              <o:lock v:ext="edit" aspectratio="f"/>
              <v:textbox inset="0mm,0mm,0mm,0mm" style="mso-fit-shape-to-text:t;">
                <w:txbxContent>
                  <w:p w14:paraId="608ABE8D">
                    <w:pPr>
                      <w:pStyle w:val="26"/>
                    </w:pPr>
                    <w:r>
                      <w:fldChar w:fldCharType="begin"/>
                    </w:r>
                    <w:r>
                      <w:instrText xml:space="preserve"> PAGE  \* MERGEFORMAT </w:instrText>
                    </w:r>
                    <w:r>
                      <w:fldChar w:fldCharType="separate"/>
                    </w:r>
                    <w:r>
                      <w:t>67</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C93F9">
    <w:pPr>
      <w:pStyle w:val="26"/>
      <w:ind w:right="360" w:firstLine="360"/>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08601">
                          <w:pPr>
                            <w:pStyle w:val="26"/>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x+U5ssAgAAV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H5TmywCAABXBAAADgAAAAAAAAABACAAAAAfAQAAZHJzL2Uyb0RvYy54bWxQSwUGAAAAAAYA&#10;BgBZAQAAvQUAAAAA&#10;">
              <v:fill on="f" focussize="0,0"/>
              <v:stroke on="f" weight="0.5pt"/>
              <v:imagedata o:title=""/>
              <o:lock v:ext="edit" aspectratio="f"/>
              <v:textbox inset="0mm,0mm,0mm,0mm" style="mso-fit-shape-to-text:t;">
                <w:txbxContent>
                  <w:p w14:paraId="00208601">
                    <w:pPr>
                      <w:pStyle w:val="26"/>
                    </w:pPr>
                    <w:r>
                      <w:fldChar w:fldCharType="begin"/>
                    </w:r>
                    <w:r>
                      <w:instrText xml:space="preserve"> PAGE  \* MERGEFORMAT </w:instrText>
                    </w:r>
                    <w:r>
                      <w:fldChar w:fldCharType="separate"/>
                    </w:r>
                    <w:r>
                      <w:t>69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02289FE"/>
    <w:multiLevelType w:val="singleLevel"/>
    <w:tmpl w:val="F02289FE"/>
    <w:lvl w:ilvl="0" w:tentative="0">
      <w:start w:val="1"/>
      <w:numFmt w:val="chineseCounting"/>
      <w:suff w:val="nothing"/>
      <w:lvlText w:val="（%1）"/>
      <w:lvlJc w:val="left"/>
      <w:rPr>
        <w:rFonts w:hint="eastAsia"/>
      </w:rPr>
    </w:lvl>
  </w:abstractNum>
  <w:abstractNum w:abstractNumId="1">
    <w:nsid w:val="484B0818"/>
    <w:multiLevelType w:val="singleLevel"/>
    <w:tmpl w:val="484B0818"/>
    <w:lvl w:ilvl="0" w:tentative="0">
      <w:start w:val="1"/>
      <w:numFmt w:val="chineseCounting"/>
      <w:suff w:val="nothing"/>
      <w:lvlText w:val="%1、"/>
      <w:lvlJc w:val="left"/>
      <w:rPr>
        <w:rFonts w:hint="eastAsia"/>
      </w:rPr>
    </w:lvl>
  </w:abstractNum>
  <w:abstractNum w:abstractNumId="2">
    <w:nsid w:val="5E4D5B96"/>
    <w:multiLevelType w:val="singleLevel"/>
    <w:tmpl w:val="5E4D5B96"/>
    <w:lvl w:ilvl="0" w:tentative="0">
      <w:start w:val="1"/>
      <w:numFmt w:val="bullet"/>
      <w:pStyle w:val="23"/>
      <w:lvlText w:val=""/>
      <w:lvlJc w:val="left"/>
      <w:pPr>
        <w:tabs>
          <w:tab w:val="left" w:pos="2040"/>
        </w:tabs>
        <w:ind w:left="2040" w:hanging="360"/>
      </w:pPr>
      <w:rPr>
        <w:rFonts w:hint="default" w:ascii="Wingdings" w:hAnsi="Wingdings"/>
      </w:rPr>
    </w:lvl>
  </w:abstractNum>
  <w:abstractNum w:abstractNumId="3">
    <w:nsid w:val="668B63C8"/>
    <w:multiLevelType w:val="singleLevel"/>
    <w:tmpl w:val="668B63C8"/>
    <w:lvl w:ilvl="0" w:tentative="0">
      <w:start w:val="1"/>
      <w:numFmt w:val="bullet"/>
      <w:pStyle w:val="11"/>
      <w:lvlText w:val=""/>
      <w:lvlJc w:val="left"/>
      <w:pPr>
        <w:tabs>
          <w:tab w:val="left" w:pos="780"/>
        </w:tabs>
        <w:ind w:left="780" w:hanging="360"/>
      </w:pPr>
      <w:rPr>
        <w:rFonts w:hint="default" w:ascii="Wingdings" w:hAnsi="Wingdings"/>
      </w:rPr>
    </w:lvl>
  </w:abstractNum>
  <w:abstractNum w:abstractNumId="4">
    <w:nsid w:val="74FC2B99"/>
    <w:multiLevelType w:val="multilevel"/>
    <w:tmpl w:val="74FC2B99"/>
    <w:lvl w:ilvl="0" w:tentative="0">
      <w:start w:val="1"/>
      <w:numFmt w:val="decimal"/>
      <w:lvlText w:val="第 %1 章"/>
      <w:lvlJc w:val="left"/>
      <w:pPr>
        <w:tabs>
          <w:tab w:val="left" w:pos="1440"/>
        </w:tabs>
        <w:ind w:left="432" w:hanging="432"/>
      </w:pPr>
      <w:rPr>
        <w:rFonts w:hint="eastAsia"/>
      </w:rPr>
    </w:lvl>
    <w:lvl w:ilvl="1" w:tentative="0">
      <w:start w:val="1"/>
      <w:numFmt w:val="decimal"/>
      <w:lvlText w:val="%1.%2"/>
      <w:lvlJc w:val="left"/>
      <w:pPr>
        <w:tabs>
          <w:tab w:val="left" w:pos="590"/>
        </w:tabs>
        <w:ind w:left="-452" w:firstLine="466"/>
      </w:pPr>
      <w:rPr>
        <w:rFonts w:hint="eastAsia"/>
      </w:rPr>
    </w:lvl>
    <w:lvl w:ilvl="2" w:tentative="0">
      <w:start w:val="1"/>
      <w:numFmt w:val="decimal"/>
      <w:lvlText w:val="%1.%2.%3"/>
      <w:lvlJc w:val="left"/>
      <w:pPr>
        <w:tabs>
          <w:tab w:val="left" w:pos="720"/>
        </w:tabs>
        <w:ind w:left="720" w:hanging="720"/>
      </w:pPr>
      <w:rPr>
        <w:rFonts w:hint="default" w:ascii="Times New Roman" w:hAnsi="Times New Roman" w:cs="Times New Roman"/>
      </w:rPr>
    </w:lvl>
    <w:lvl w:ilvl="3" w:tentative="0">
      <w:start w:val="1"/>
      <w:numFmt w:val="decimal"/>
      <w:pStyle w:val="7"/>
      <w:lvlText w:val="%1.%2.%3.%4"/>
      <w:lvlJc w:val="left"/>
      <w:pPr>
        <w:tabs>
          <w:tab w:val="left" w:pos="864"/>
        </w:tabs>
        <w:ind w:left="864" w:hanging="864"/>
      </w:pPr>
      <w:rPr>
        <w:rFonts w:hint="default" w:ascii="Times New Roman" w:hAnsi="Times New Roman"/>
        <w:b w:val="0"/>
        <w:i w:val="0"/>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lkOTQwM2IyMDNlNDFkYTE4NmJiZGYyNGM2MjQzYjAifQ=="/>
  </w:docVars>
  <w:rsids>
    <w:rsidRoot w:val="00172A27"/>
    <w:rsid w:val="000060B3"/>
    <w:rsid w:val="00021C0D"/>
    <w:rsid w:val="000434FC"/>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064C0"/>
    <w:rsid w:val="00131F42"/>
    <w:rsid w:val="001357F1"/>
    <w:rsid w:val="00140FA8"/>
    <w:rsid w:val="00142FEB"/>
    <w:rsid w:val="00143A2D"/>
    <w:rsid w:val="00145A41"/>
    <w:rsid w:val="00151675"/>
    <w:rsid w:val="00157435"/>
    <w:rsid w:val="00172A27"/>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07852"/>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D4AEB"/>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223C"/>
    <w:rsid w:val="00554A7B"/>
    <w:rsid w:val="0055572C"/>
    <w:rsid w:val="0056106A"/>
    <w:rsid w:val="005720AE"/>
    <w:rsid w:val="00594D77"/>
    <w:rsid w:val="005969E4"/>
    <w:rsid w:val="005A06B7"/>
    <w:rsid w:val="005A0FA1"/>
    <w:rsid w:val="005A1759"/>
    <w:rsid w:val="005A68A7"/>
    <w:rsid w:val="005C6ADC"/>
    <w:rsid w:val="005D36AB"/>
    <w:rsid w:val="00614168"/>
    <w:rsid w:val="00617CC3"/>
    <w:rsid w:val="006377A6"/>
    <w:rsid w:val="00637A3D"/>
    <w:rsid w:val="006411EF"/>
    <w:rsid w:val="006748B8"/>
    <w:rsid w:val="006775C3"/>
    <w:rsid w:val="0069290A"/>
    <w:rsid w:val="0069775A"/>
    <w:rsid w:val="00697813"/>
    <w:rsid w:val="006A3EE8"/>
    <w:rsid w:val="006A72BF"/>
    <w:rsid w:val="006A76D5"/>
    <w:rsid w:val="006B03F2"/>
    <w:rsid w:val="006B37DC"/>
    <w:rsid w:val="006B4F68"/>
    <w:rsid w:val="006C0592"/>
    <w:rsid w:val="006C272E"/>
    <w:rsid w:val="006C5479"/>
    <w:rsid w:val="006D13B5"/>
    <w:rsid w:val="006E12FF"/>
    <w:rsid w:val="006E607E"/>
    <w:rsid w:val="00702588"/>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218"/>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C79FB"/>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3C62"/>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643A6"/>
    <w:rsid w:val="00D94A7C"/>
    <w:rsid w:val="00D95896"/>
    <w:rsid w:val="00DB2983"/>
    <w:rsid w:val="00DC1257"/>
    <w:rsid w:val="00DC3DC0"/>
    <w:rsid w:val="00DC5B2B"/>
    <w:rsid w:val="00DD318D"/>
    <w:rsid w:val="00DD7700"/>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957AA"/>
    <w:rsid w:val="010A6538"/>
    <w:rsid w:val="01290F7E"/>
    <w:rsid w:val="01306371"/>
    <w:rsid w:val="014C0F72"/>
    <w:rsid w:val="015D1E09"/>
    <w:rsid w:val="01A06F09"/>
    <w:rsid w:val="01A7201C"/>
    <w:rsid w:val="01CE7434"/>
    <w:rsid w:val="01D71DB6"/>
    <w:rsid w:val="01EF572E"/>
    <w:rsid w:val="022A6766"/>
    <w:rsid w:val="022B23B8"/>
    <w:rsid w:val="024970A8"/>
    <w:rsid w:val="02565F46"/>
    <w:rsid w:val="02697903"/>
    <w:rsid w:val="02785724"/>
    <w:rsid w:val="028D42A6"/>
    <w:rsid w:val="02931E56"/>
    <w:rsid w:val="02B524D4"/>
    <w:rsid w:val="02BA21E0"/>
    <w:rsid w:val="02ED4364"/>
    <w:rsid w:val="02F07028"/>
    <w:rsid w:val="02F96569"/>
    <w:rsid w:val="03060F81"/>
    <w:rsid w:val="031713E0"/>
    <w:rsid w:val="03400AAB"/>
    <w:rsid w:val="035E4919"/>
    <w:rsid w:val="038163F2"/>
    <w:rsid w:val="03B153A7"/>
    <w:rsid w:val="03D251BA"/>
    <w:rsid w:val="03D756A0"/>
    <w:rsid w:val="03E17C80"/>
    <w:rsid w:val="03EA7B21"/>
    <w:rsid w:val="046046C1"/>
    <w:rsid w:val="0479335F"/>
    <w:rsid w:val="04B54A0D"/>
    <w:rsid w:val="04DA5EB4"/>
    <w:rsid w:val="04E15802"/>
    <w:rsid w:val="04F34B35"/>
    <w:rsid w:val="05056F63"/>
    <w:rsid w:val="051B2B7B"/>
    <w:rsid w:val="052C7498"/>
    <w:rsid w:val="054A5E29"/>
    <w:rsid w:val="05616DB8"/>
    <w:rsid w:val="05850883"/>
    <w:rsid w:val="059D05E3"/>
    <w:rsid w:val="05A21435"/>
    <w:rsid w:val="05B30985"/>
    <w:rsid w:val="05B9677F"/>
    <w:rsid w:val="05BB42A5"/>
    <w:rsid w:val="05E80E12"/>
    <w:rsid w:val="05F83EAE"/>
    <w:rsid w:val="06087FF6"/>
    <w:rsid w:val="06207654"/>
    <w:rsid w:val="063E7D85"/>
    <w:rsid w:val="064216C0"/>
    <w:rsid w:val="064F3CCA"/>
    <w:rsid w:val="06551817"/>
    <w:rsid w:val="065D535C"/>
    <w:rsid w:val="06610A4B"/>
    <w:rsid w:val="06620BC5"/>
    <w:rsid w:val="0680729D"/>
    <w:rsid w:val="068A7163"/>
    <w:rsid w:val="06952D48"/>
    <w:rsid w:val="06A967F3"/>
    <w:rsid w:val="06AB7240"/>
    <w:rsid w:val="06BF6017"/>
    <w:rsid w:val="06D54C4A"/>
    <w:rsid w:val="06E56320"/>
    <w:rsid w:val="07224C2D"/>
    <w:rsid w:val="072365A6"/>
    <w:rsid w:val="07293586"/>
    <w:rsid w:val="07295285"/>
    <w:rsid w:val="075A7AEE"/>
    <w:rsid w:val="07636392"/>
    <w:rsid w:val="076E3F95"/>
    <w:rsid w:val="07770C56"/>
    <w:rsid w:val="07794053"/>
    <w:rsid w:val="07944DAE"/>
    <w:rsid w:val="07A11279"/>
    <w:rsid w:val="07B641F0"/>
    <w:rsid w:val="07D86422"/>
    <w:rsid w:val="07E2277C"/>
    <w:rsid w:val="07EF0236"/>
    <w:rsid w:val="080C18D1"/>
    <w:rsid w:val="082F4DFB"/>
    <w:rsid w:val="08763A7E"/>
    <w:rsid w:val="087846CF"/>
    <w:rsid w:val="088F727A"/>
    <w:rsid w:val="089D5EE4"/>
    <w:rsid w:val="08A86D71"/>
    <w:rsid w:val="08A92ADB"/>
    <w:rsid w:val="08B03E69"/>
    <w:rsid w:val="08DA5C6C"/>
    <w:rsid w:val="090D306A"/>
    <w:rsid w:val="09212671"/>
    <w:rsid w:val="092217DD"/>
    <w:rsid w:val="0923288D"/>
    <w:rsid w:val="092C7268"/>
    <w:rsid w:val="093A7294"/>
    <w:rsid w:val="094F6F85"/>
    <w:rsid w:val="098765F8"/>
    <w:rsid w:val="09911A61"/>
    <w:rsid w:val="099A2423"/>
    <w:rsid w:val="09A376B9"/>
    <w:rsid w:val="09B47989"/>
    <w:rsid w:val="09CE6F91"/>
    <w:rsid w:val="09D516AE"/>
    <w:rsid w:val="09EA33AB"/>
    <w:rsid w:val="09EB4E86"/>
    <w:rsid w:val="09F63AFE"/>
    <w:rsid w:val="0A011F88"/>
    <w:rsid w:val="0A1B300D"/>
    <w:rsid w:val="0A214ED7"/>
    <w:rsid w:val="0A263993"/>
    <w:rsid w:val="0A2D3AC2"/>
    <w:rsid w:val="0A4775FE"/>
    <w:rsid w:val="0A4C1970"/>
    <w:rsid w:val="0A752627"/>
    <w:rsid w:val="0A79472F"/>
    <w:rsid w:val="0AA755DF"/>
    <w:rsid w:val="0AC97DF2"/>
    <w:rsid w:val="0AD025A1"/>
    <w:rsid w:val="0B110DF0"/>
    <w:rsid w:val="0B120D44"/>
    <w:rsid w:val="0B3348DE"/>
    <w:rsid w:val="0B7C2B09"/>
    <w:rsid w:val="0B815649"/>
    <w:rsid w:val="0B865355"/>
    <w:rsid w:val="0B9E6AC3"/>
    <w:rsid w:val="0BA93258"/>
    <w:rsid w:val="0BB35A1E"/>
    <w:rsid w:val="0BB9535D"/>
    <w:rsid w:val="0BBF2615"/>
    <w:rsid w:val="0BD27BF6"/>
    <w:rsid w:val="0C104C1F"/>
    <w:rsid w:val="0C1110C3"/>
    <w:rsid w:val="0C2D757F"/>
    <w:rsid w:val="0C3B3C7D"/>
    <w:rsid w:val="0C476893"/>
    <w:rsid w:val="0C480E8B"/>
    <w:rsid w:val="0C514DDC"/>
    <w:rsid w:val="0C6A5BE2"/>
    <w:rsid w:val="0C915D60"/>
    <w:rsid w:val="0CA830A9"/>
    <w:rsid w:val="0CAB2EAE"/>
    <w:rsid w:val="0CC339A0"/>
    <w:rsid w:val="0CC40292"/>
    <w:rsid w:val="0CED4443"/>
    <w:rsid w:val="0D5C1B29"/>
    <w:rsid w:val="0D621C7D"/>
    <w:rsid w:val="0DDF2820"/>
    <w:rsid w:val="0DE545B5"/>
    <w:rsid w:val="0DF01CA5"/>
    <w:rsid w:val="0E356BBF"/>
    <w:rsid w:val="0E3C6AA2"/>
    <w:rsid w:val="0E3E1F17"/>
    <w:rsid w:val="0E460DCC"/>
    <w:rsid w:val="0E4F4C06"/>
    <w:rsid w:val="0E545297"/>
    <w:rsid w:val="0E6E2663"/>
    <w:rsid w:val="0E73034D"/>
    <w:rsid w:val="0E784EDF"/>
    <w:rsid w:val="0E813BB2"/>
    <w:rsid w:val="0E991F00"/>
    <w:rsid w:val="0ECD32A3"/>
    <w:rsid w:val="0ED0372F"/>
    <w:rsid w:val="0EDB63E7"/>
    <w:rsid w:val="0EE4486D"/>
    <w:rsid w:val="0F0345BF"/>
    <w:rsid w:val="0F113188"/>
    <w:rsid w:val="0F13775A"/>
    <w:rsid w:val="0F19203C"/>
    <w:rsid w:val="0F204823"/>
    <w:rsid w:val="0F242EBB"/>
    <w:rsid w:val="0F3E7E3A"/>
    <w:rsid w:val="0F5F45FE"/>
    <w:rsid w:val="0F9A112B"/>
    <w:rsid w:val="0FC51543"/>
    <w:rsid w:val="0FDB7B20"/>
    <w:rsid w:val="0FFF7484"/>
    <w:rsid w:val="10125AC5"/>
    <w:rsid w:val="106D2F64"/>
    <w:rsid w:val="107707D4"/>
    <w:rsid w:val="10B3033D"/>
    <w:rsid w:val="10B63710"/>
    <w:rsid w:val="10BF5BEF"/>
    <w:rsid w:val="10E21CDF"/>
    <w:rsid w:val="10F10820"/>
    <w:rsid w:val="111C2F7A"/>
    <w:rsid w:val="114107FE"/>
    <w:rsid w:val="11665CA1"/>
    <w:rsid w:val="11872970"/>
    <w:rsid w:val="11877731"/>
    <w:rsid w:val="11942FBE"/>
    <w:rsid w:val="11A35E37"/>
    <w:rsid w:val="11A9487A"/>
    <w:rsid w:val="11CB257E"/>
    <w:rsid w:val="11F76665"/>
    <w:rsid w:val="120174E4"/>
    <w:rsid w:val="121D1954"/>
    <w:rsid w:val="122819FE"/>
    <w:rsid w:val="12374CB3"/>
    <w:rsid w:val="123A1AD9"/>
    <w:rsid w:val="12AA12B5"/>
    <w:rsid w:val="12BC340B"/>
    <w:rsid w:val="12F26B7A"/>
    <w:rsid w:val="13081E12"/>
    <w:rsid w:val="130B4BAF"/>
    <w:rsid w:val="1319563B"/>
    <w:rsid w:val="132964DD"/>
    <w:rsid w:val="134578A4"/>
    <w:rsid w:val="13547BED"/>
    <w:rsid w:val="13707877"/>
    <w:rsid w:val="137361BF"/>
    <w:rsid w:val="13833F28"/>
    <w:rsid w:val="13951726"/>
    <w:rsid w:val="139B74C4"/>
    <w:rsid w:val="139F6FB4"/>
    <w:rsid w:val="13BA3DEE"/>
    <w:rsid w:val="13E175CD"/>
    <w:rsid w:val="13F11368"/>
    <w:rsid w:val="140E413A"/>
    <w:rsid w:val="14117786"/>
    <w:rsid w:val="142B0848"/>
    <w:rsid w:val="14396509"/>
    <w:rsid w:val="143F5442"/>
    <w:rsid w:val="14444711"/>
    <w:rsid w:val="144C6FE7"/>
    <w:rsid w:val="1494425F"/>
    <w:rsid w:val="14977C8B"/>
    <w:rsid w:val="14A405FA"/>
    <w:rsid w:val="14AA0849"/>
    <w:rsid w:val="14AC117B"/>
    <w:rsid w:val="14DD2C3C"/>
    <w:rsid w:val="14E60C13"/>
    <w:rsid w:val="15671D54"/>
    <w:rsid w:val="15782278"/>
    <w:rsid w:val="157B75AD"/>
    <w:rsid w:val="15883A78"/>
    <w:rsid w:val="158E72E0"/>
    <w:rsid w:val="15B83BDA"/>
    <w:rsid w:val="15D60C87"/>
    <w:rsid w:val="15E50ECA"/>
    <w:rsid w:val="15F139D5"/>
    <w:rsid w:val="15FC29A5"/>
    <w:rsid w:val="16087E1D"/>
    <w:rsid w:val="16095600"/>
    <w:rsid w:val="16210559"/>
    <w:rsid w:val="16734728"/>
    <w:rsid w:val="16A6065A"/>
    <w:rsid w:val="170B670F"/>
    <w:rsid w:val="17176DAF"/>
    <w:rsid w:val="172A7158"/>
    <w:rsid w:val="17365E81"/>
    <w:rsid w:val="17435EA8"/>
    <w:rsid w:val="174C7453"/>
    <w:rsid w:val="17701D14"/>
    <w:rsid w:val="17735226"/>
    <w:rsid w:val="17B429B6"/>
    <w:rsid w:val="17B6649B"/>
    <w:rsid w:val="17C57205"/>
    <w:rsid w:val="17C90AA4"/>
    <w:rsid w:val="17E23B54"/>
    <w:rsid w:val="17F641D5"/>
    <w:rsid w:val="180F0BA3"/>
    <w:rsid w:val="186617A0"/>
    <w:rsid w:val="189664AC"/>
    <w:rsid w:val="189F624C"/>
    <w:rsid w:val="18A973CD"/>
    <w:rsid w:val="18B00342"/>
    <w:rsid w:val="18CF7FBB"/>
    <w:rsid w:val="18D94D16"/>
    <w:rsid w:val="18F41CA0"/>
    <w:rsid w:val="190C1415"/>
    <w:rsid w:val="19153875"/>
    <w:rsid w:val="194523AC"/>
    <w:rsid w:val="195404FB"/>
    <w:rsid w:val="198C7FDB"/>
    <w:rsid w:val="19AA220F"/>
    <w:rsid w:val="19BB266E"/>
    <w:rsid w:val="19C71013"/>
    <w:rsid w:val="19C84D8B"/>
    <w:rsid w:val="19C92FDD"/>
    <w:rsid w:val="19DF6A36"/>
    <w:rsid w:val="1A1C2C01"/>
    <w:rsid w:val="1A1C66C0"/>
    <w:rsid w:val="1A2E453C"/>
    <w:rsid w:val="1A3441CE"/>
    <w:rsid w:val="1A3F787C"/>
    <w:rsid w:val="1A42393B"/>
    <w:rsid w:val="1A573BF8"/>
    <w:rsid w:val="1A7222BA"/>
    <w:rsid w:val="1A840009"/>
    <w:rsid w:val="1A945540"/>
    <w:rsid w:val="1AA749A0"/>
    <w:rsid w:val="1AAD45DE"/>
    <w:rsid w:val="1ABC044C"/>
    <w:rsid w:val="1AC6751C"/>
    <w:rsid w:val="1ACC185B"/>
    <w:rsid w:val="1ADE4866"/>
    <w:rsid w:val="1AF70B74"/>
    <w:rsid w:val="1B046F80"/>
    <w:rsid w:val="1B1D4936"/>
    <w:rsid w:val="1B3267B5"/>
    <w:rsid w:val="1B40161D"/>
    <w:rsid w:val="1B441859"/>
    <w:rsid w:val="1B486183"/>
    <w:rsid w:val="1B6606B1"/>
    <w:rsid w:val="1BA86C22"/>
    <w:rsid w:val="1BAF6202"/>
    <w:rsid w:val="1BBA3A2F"/>
    <w:rsid w:val="1BC11A92"/>
    <w:rsid w:val="1BD45C69"/>
    <w:rsid w:val="1BF8356F"/>
    <w:rsid w:val="1C0239B2"/>
    <w:rsid w:val="1C134764"/>
    <w:rsid w:val="1C3D380E"/>
    <w:rsid w:val="1C454471"/>
    <w:rsid w:val="1C5E7925"/>
    <w:rsid w:val="1C8F7A67"/>
    <w:rsid w:val="1CCE26B8"/>
    <w:rsid w:val="1CF73540"/>
    <w:rsid w:val="1CFD070F"/>
    <w:rsid w:val="1D0D4145"/>
    <w:rsid w:val="1D1A6FF8"/>
    <w:rsid w:val="1D3C0223"/>
    <w:rsid w:val="1D5F6196"/>
    <w:rsid w:val="1D6132A5"/>
    <w:rsid w:val="1D797F3F"/>
    <w:rsid w:val="1D8E56D5"/>
    <w:rsid w:val="1DF0665E"/>
    <w:rsid w:val="1DF83BB7"/>
    <w:rsid w:val="1E0B5246"/>
    <w:rsid w:val="1E195BB5"/>
    <w:rsid w:val="1E205195"/>
    <w:rsid w:val="1E6A69C7"/>
    <w:rsid w:val="1E7A43DA"/>
    <w:rsid w:val="1E7E3C6A"/>
    <w:rsid w:val="1ECC5A5E"/>
    <w:rsid w:val="1EDB593F"/>
    <w:rsid w:val="1EDD6BE3"/>
    <w:rsid w:val="1EEB7551"/>
    <w:rsid w:val="1EFD54D7"/>
    <w:rsid w:val="1F01644A"/>
    <w:rsid w:val="1F050AA0"/>
    <w:rsid w:val="1F114ADE"/>
    <w:rsid w:val="1F2E01AA"/>
    <w:rsid w:val="1F486752"/>
    <w:rsid w:val="1F4E5D32"/>
    <w:rsid w:val="1F560267"/>
    <w:rsid w:val="1F574BE7"/>
    <w:rsid w:val="1F7A6206"/>
    <w:rsid w:val="1F933745"/>
    <w:rsid w:val="1F9E49AA"/>
    <w:rsid w:val="1FE7539E"/>
    <w:rsid w:val="1FF02946"/>
    <w:rsid w:val="20113BB4"/>
    <w:rsid w:val="20621A95"/>
    <w:rsid w:val="20671BE0"/>
    <w:rsid w:val="20855784"/>
    <w:rsid w:val="209459C7"/>
    <w:rsid w:val="20963CB8"/>
    <w:rsid w:val="20A81A1B"/>
    <w:rsid w:val="20B07FB6"/>
    <w:rsid w:val="20B47E17"/>
    <w:rsid w:val="20B646FB"/>
    <w:rsid w:val="20C75D9C"/>
    <w:rsid w:val="20C932CD"/>
    <w:rsid w:val="20CF4C51"/>
    <w:rsid w:val="20DC087D"/>
    <w:rsid w:val="20E56222"/>
    <w:rsid w:val="2110133D"/>
    <w:rsid w:val="21222FD3"/>
    <w:rsid w:val="213827F6"/>
    <w:rsid w:val="213A6B46"/>
    <w:rsid w:val="213B74B1"/>
    <w:rsid w:val="213D605E"/>
    <w:rsid w:val="21402E17"/>
    <w:rsid w:val="215A2310"/>
    <w:rsid w:val="217355DC"/>
    <w:rsid w:val="21952B1C"/>
    <w:rsid w:val="21CB3390"/>
    <w:rsid w:val="21CF5E82"/>
    <w:rsid w:val="21D73DBD"/>
    <w:rsid w:val="21DE318A"/>
    <w:rsid w:val="21EF5B80"/>
    <w:rsid w:val="21FA7AAB"/>
    <w:rsid w:val="21FC7B27"/>
    <w:rsid w:val="220D77DF"/>
    <w:rsid w:val="224320F3"/>
    <w:rsid w:val="224E24D7"/>
    <w:rsid w:val="225278E7"/>
    <w:rsid w:val="22576990"/>
    <w:rsid w:val="225F28D0"/>
    <w:rsid w:val="22654504"/>
    <w:rsid w:val="22722D1B"/>
    <w:rsid w:val="227275E7"/>
    <w:rsid w:val="22A30143"/>
    <w:rsid w:val="22D87DED"/>
    <w:rsid w:val="22EF5136"/>
    <w:rsid w:val="22F47480"/>
    <w:rsid w:val="22F92AB0"/>
    <w:rsid w:val="230B5568"/>
    <w:rsid w:val="23212434"/>
    <w:rsid w:val="235A678A"/>
    <w:rsid w:val="2364787B"/>
    <w:rsid w:val="23A75F96"/>
    <w:rsid w:val="23A93537"/>
    <w:rsid w:val="23C075DF"/>
    <w:rsid w:val="23DE1C48"/>
    <w:rsid w:val="240210CD"/>
    <w:rsid w:val="241733C3"/>
    <w:rsid w:val="2418246B"/>
    <w:rsid w:val="241A0088"/>
    <w:rsid w:val="24207C9D"/>
    <w:rsid w:val="24253506"/>
    <w:rsid w:val="247679F6"/>
    <w:rsid w:val="249521C0"/>
    <w:rsid w:val="249D7540"/>
    <w:rsid w:val="24BF09F7"/>
    <w:rsid w:val="250824DF"/>
    <w:rsid w:val="251946ED"/>
    <w:rsid w:val="252D53FE"/>
    <w:rsid w:val="2555320F"/>
    <w:rsid w:val="2584600A"/>
    <w:rsid w:val="2593624D"/>
    <w:rsid w:val="25A12DD9"/>
    <w:rsid w:val="25A62424"/>
    <w:rsid w:val="25B508B9"/>
    <w:rsid w:val="25DA50B8"/>
    <w:rsid w:val="25EC2D81"/>
    <w:rsid w:val="25ED0053"/>
    <w:rsid w:val="2616127E"/>
    <w:rsid w:val="261C27A7"/>
    <w:rsid w:val="262A5EEE"/>
    <w:rsid w:val="26597496"/>
    <w:rsid w:val="26723FD0"/>
    <w:rsid w:val="26CD6C2C"/>
    <w:rsid w:val="26D703BB"/>
    <w:rsid w:val="270D387F"/>
    <w:rsid w:val="277057A2"/>
    <w:rsid w:val="27983FEE"/>
    <w:rsid w:val="27A01E2D"/>
    <w:rsid w:val="27A02EA3"/>
    <w:rsid w:val="27A90236"/>
    <w:rsid w:val="27B800C2"/>
    <w:rsid w:val="27CC1EEA"/>
    <w:rsid w:val="27EE3C0E"/>
    <w:rsid w:val="28333D17"/>
    <w:rsid w:val="285E0142"/>
    <w:rsid w:val="28665E9B"/>
    <w:rsid w:val="28A35F08"/>
    <w:rsid w:val="28C8445F"/>
    <w:rsid w:val="28E026ED"/>
    <w:rsid w:val="28E62B38"/>
    <w:rsid w:val="28F221A0"/>
    <w:rsid w:val="29206EB8"/>
    <w:rsid w:val="29271BE4"/>
    <w:rsid w:val="29276A27"/>
    <w:rsid w:val="294D604C"/>
    <w:rsid w:val="29595666"/>
    <w:rsid w:val="29634188"/>
    <w:rsid w:val="29874881"/>
    <w:rsid w:val="299715A6"/>
    <w:rsid w:val="299B54DA"/>
    <w:rsid w:val="29B11398"/>
    <w:rsid w:val="29E325E0"/>
    <w:rsid w:val="29F5570F"/>
    <w:rsid w:val="2A3F1527"/>
    <w:rsid w:val="2A452503"/>
    <w:rsid w:val="2A6428AE"/>
    <w:rsid w:val="2A9071FF"/>
    <w:rsid w:val="2AAA6513"/>
    <w:rsid w:val="2AB6770F"/>
    <w:rsid w:val="2ACA5612"/>
    <w:rsid w:val="2AD417E1"/>
    <w:rsid w:val="2AFB201E"/>
    <w:rsid w:val="2B552AB1"/>
    <w:rsid w:val="2B593F84"/>
    <w:rsid w:val="2B6E5792"/>
    <w:rsid w:val="2BA936A8"/>
    <w:rsid w:val="2BD11210"/>
    <w:rsid w:val="2BE10B01"/>
    <w:rsid w:val="2BE21CDC"/>
    <w:rsid w:val="2BFB4B4C"/>
    <w:rsid w:val="2C1520B2"/>
    <w:rsid w:val="2C2A71DF"/>
    <w:rsid w:val="2C2B5431"/>
    <w:rsid w:val="2C315A5A"/>
    <w:rsid w:val="2C4722D2"/>
    <w:rsid w:val="2C4B1C25"/>
    <w:rsid w:val="2C5270CC"/>
    <w:rsid w:val="2C536736"/>
    <w:rsid w:val="2C673F8F"/>
    <w:rsid w:val="2CA23219"/>
    <w:rsid w:val="2CD36425"/>
    <w:rsid w:val="2CD563DA"/>
    <w:rsid w:val="2CEA709A"/>
    <w:rsid w:val="2CFC7029"/>
    <w:rsid w:val="2CFD7512"/>
    <w:rsid w:val="2D02797C"/>
    <w:rsid w:val="2D2D14AC"/>
    <w:rsid w:val="2D3C71CA"/>
    <w:rsid w:val="2D7B5F44"/>
    <w:rsid w:val="2D825525"/>
    <w:rsid w:val="2D9E56F5"/>
    <w:rsid w:val="2DC641CB"/>
    <w:rsid w:val="2DD91849"/>
    <w:rsid w:val="2DDA3F3E"/>
    <w:rsid w:val="2DDB4C35"/>
    <w:rsid w:val="2DF83A39"/>
    <w:rsid w:val="2E183793"/>
    <w:rsid w:val="2E1C30BA"/>
    <w:rsid w:val="2E1F2D74"/>
    <w:rsid w:val="2E2C36E3"/>
    <w:rsid w:val="2E2E0121"/>
    <w:rsid w:val="2E314855"/>
    <w:rsid w:val="2E36398E"/>
    <w:rsid w:val="2E426A62"/>
    <w:rsid w:val="2E667F96"/>
    <w:rsid w:val="2E7E2FE0"/>
    <w:rsid w:val="2E8226AB"/>
    <w:rsid w:val="2E8F5A48"/>
    <w:rsid w:val="2EBA335F"/>
    <w:rsid w:val="2EDF69A7"/>
    <w:rsid w:val="2F0106CB"/>
    <w:rsid w:val="2F0138CA"/>
    <w:rsid w:val="2F01516F"/>
    <w:rsid w:val="2F027615"/>
    <w:rsid w:val="2F326B86"/>
    <w:rsid w:val="2F351E37"/>
    <w:rsid w:val="2F4F58DB"/>
    <w:rsid w:val="2F7B4DDE"/>
    <w:rsid w:val="2F963509"/>
    <w:rsid w:val="2F994DA8"/>
    <w:rsid w:val="2FD065E6"/>
    <w:rsid w:val="2FD96870"/>
    <w:rsid w:val="2FE7539E"/>
    <w:rsid w:val="2FF344B8"/>
    <w:rsid w:val="2FF53258"/>
    <w:rsid w:val="3000376E"/>
    <w:rsid w:val="30142680"/>
    <w:rsid w:val="30580BC9"/>
    <w:rsid w:val="305F38FB"/>
    <w:rsid w:val="30896BCA"/>
    <w:rsid w:val="30A65F29"/>
    <w:rsid w:val="30AB4F67"/>
    <w:rsid w:val="30B359F5"/>
    <w:rsid w:val="30C6397A"/>
    <w:rsid w:val="30FD4EC2"/>
    <w:rsid w:val="311E2ED7"/>
    <w:rsid w:val="31256D66"/>
    <w:rsid w:val="31282BD8"/>
    <w:rsid w:val="315115A8"/>
    <w:rsid w:val="315619EE"/>
    <w:rsid w:val="315B4F78"/>
    <w:rsid w:val="315C449C"/>
    <w:rsid w:val="31807FCD"/>
    <w:rsid w:val="31A91934"/>
    <w:rsid w:val="31B82709"/>
    <w:rsid w:val="31C03E9E"/>
    <w:rsid w:val="31CF2D03"/>
    <w:rsid w:val="31D05482"/>
    <w:rsid w:val="31E16592"/>
    <w:rsid w:val="320F1865"/>
    <w:rsid w:val="3220355E"/>
    <w:rsid w:val="32223E0E"/>
    <w:rsid w:val="32400B34"/>
    <w:rsid w:val="329750DF"/>
    <w:rsid w:val="329E6876"/>
    <w:rsid w:val="32A63A63"/>
    <w:rsid w:val="32B34F0A"/>
    <w:rsid w:val="32C43EEA"/>
    <w:rsid w:val="33154745"/>
    <w:rsid w:val="33202C5D"/>
    <w:rsid w:val="33216662"/>
    <w:rsid w:val="333015F2"/>
    <w:rsid w:val="334B6320"/>
    <w:rsid w:val="33652DC2"/>
    <w:rsid w:val="33984304"/>
    <w:rsid w:val="33BE4DDD"/>
    <w:rsid w:val="33CE3CE5"/>
    <w:rsid w:val="33D934D4"/>
    <w:rsid w:val="33E67E90"/>
    <w:rsid w:val="33F8556F"/>
    <w:rsid w:val="33FE2F6A"/>
    <w:rsid w:val="340E07E5"/>
    <w:rsid w:val="34117602"/>
    <w:rsid w:val="34235BF7"/>
    <w:rsid w:val="34264730"/>
    <w:rsid w:val="342F1837"/>
    <w:rsid w:val="34401C96"/>
    <w:rsid w:val="344A6066"/>
    <w:rsid w:val="344F374A"/>
    <w:rsid w:val="34592D57"/>
    <w:rsid w:val="345C67A9"/>
    <w:rsid w:val="35270760"/>
    <w:rsid w:val="35340B68"/>
    <w:rsid w:val="353D5303"/>
    <w:rsid w:val="355E6877"/>
    <w:rsid w:val="358C5FA8"/>
    <w:rsid w:val="35942299"/>
    <w:rsid w:val="35A95619"/>
    <w:rsid w:val="35AD335B"/>
    <w:rsid w:val="35AE2C2F"/>
    <w:rsid w:val="35B1331C"/>
    <w:rsid w:val="35B30245"/>
    <w:rsid w:val="35C15DF1"/>
    <w:rsid w:val="35CB558F"/>
    <w:rsid w:val="35D2691D"/>
    <w:rsid w:val="36032F7B"/>
    <w:rsid w:val="36074A7F"/>
    <w:rsid w:val="360A3C9A"/>
    <w:rsid w:val="36146F36"/>
    <w:rsid w:val="36300FF3"/>
    <w:rsid w:val="36301896"/>
    <w:rsid w:val="363E2205"/>
    <w:rsid w:val="364B5A10"/>
    <w:rsid w:val="36796C66"/>
    <w:rsid w:val="368A369C"/>
    <w:rsid w:val="36923549"/>
    <w:rsid w:val="36A4650C"/>
    <w:rsid w:val="36AB4A13"/>
    <w:rsid w:val="36B75FBF"/>
    <w:rsid w:val="36BD0C45"/>
    <w:rsid w:val="36E763F9"/>
    <w:rsid w:val="36EF34FF"/>
    <w:rsid w:val="3703372E"/>
    <w:rsid w:val="373F036C"/>
    <w:rsid w:val="374003A8"/>
    <w:rsid w:val="374A4272"/>
    <w:rsid w:val="374C2700"/>
    <w:rsid w:val="374E46CA"/>
    <w:rsid w:val="3750510B"/>
    <w:rsid w:val="376B43EE"/>
    <w:rsid w:val="378D6FA0"/>
    <w:rsid w:val="379C3687"/>
    <w:rsid w:val="37A8202C"/>
    <w:rsid w:val="37AB38CA"/>
    <w:rsid w:val="37B95FE7"/>
    <w:rsid w:val="37BE1A0C"/>
    <w:rsid w:val="37CA23C1"/>
    <w:rsid w:val="37E00298"/>
    <w:rsid w:val="37E4653D"/>
    <w:rsid w:val="3837209E"/>
    <w:rsid w:val="384D2BD3"/>
    <w:rsid w:val="3861766A"/>
    <w:rsid w:val="3888058D"/>
    <w:rsid w:val="38A722E3"/>
    <w:rsid w:val="38B302F9"/>
    <w:rsid w:val="38BC3F52"/>
    <w:rsid w:val="38C8225A"/>
    <w:rsid w:val="38CE7AD5"/>
    <w:rsid w:val="38E47094"/>
    <w:rsid w:val="38F12CD3"/>
    <w:rsid w:val="38F94775"/>
    <w:rsid w:val="390D7C7F"/>
    <w:rsid w:val="392971ED"/>
    <w:rsid w:val="392F69EB"/>
    <w:rsid w:val="39325651"/>
    <w:rsid w:val="393F0021"/>
    <w:rsid w:val="39705ED2"/>
    <w:rsid w:val="39B0341A"/>
    <w:rsid w:val="39B95A28"/>
    <w:rsid w:val="39BD1693"/>
    <w:rsid w:val="39E35A89"/>
    <w:rsid w:val="39F87B6A"/>
    <w:rsid w:val="3A356FBB"/>
    <w:rsid w:val="3A451DB4"/>
    <w:rsid w:val="3A5141C6"/>
    <w:rsid w:val="3A5C0EAC"/>
    <w:rsid w:val="3A766411"/>
    <w:rsid w:val="3A872856"/>
    <w:rsid w:val="3A8A77C7"/>
    <w:rsid w:val="3A8D23A6"/>
    <w:rsid w:val="3A951DD3"/>
    <w:rsid w:val="3A971EE4"/>
    <w:rsid w:val="3A9B19D4"/>
    <w:rsid w:val="3AD60C5E"/>
    <w:rsid w:val="3AFB2473"/>
    <w:rsid w:val="3B3763D1"/>
    <w:rsid w:val="3B581673"/>
    <w:rsid w:val="3BD272DB"/>
    <w:rsid w:val="3BF10EB2"/>
    <w:rsid w:val="3BF5780A"/>
    <w:rsid w:val="3BFA3EA3"/>
    <w:rsid w:val="3C051E21"/>
    <w:rsid w:val="3C100910"/>
    <w:rsid w:val="3C291F3C"/>
    <w:rsid w:val="3C2F6E1E"/>
    <w:rsid w:val="3C4F64BA"/>
    <w:rsid w:val="3C5B3823"/>
    <w:rsid w:val="3C623EED"/>
    <w:rsid w:val="3C750EC2"/>
    <w:rsid w:val="3C8F7316"/>
    <w:rsid w:val="3CAB7EC8"/>
    <w:rsid w:val="3CD17675"/>
    <w:rsid w:val="3CDA245A"/>
    <w:rsid w:val="3CE358B4"/>
    <w:rsid w:val="3CF94902"/>
    <w:rsid w:val="3D0A2E41"/>
    <w:rsid w:val="3D1E06B7"/>
    <w:rsid w:val="3D2804BB"/>
    <w:rsid w:val="3D344362"/>
    <w:rsid w:val="3D74650C"/>
    <w:rsid w:val="3D7D1865"/>
    <w:rsid w:val="3D8D6ED0"/>
    <w:rsid w:val="3D9D3CB5"/>
    <w:rsid w:val="3DA768E2"/>
    <w:rsid w:val="3DC513DA"/>
    <w:rsid w:val="3DD25338"/>
    <w:rsid w:val="3DE511B8"/>
    <w:rsid w:val="3E22577B"/>
    <w:rsid w:val="3E5C147A"/>
    <w:rsid w:val="3E5C76CC"/>
    <w:rsid w:val="3E9C21BE"/>
    <w:rsid w:val="3EA42E21"/>
    <w:rsid w:val="3EA936D1"/>
    <w:rsid w:val="3EDA0523"/>
    <w:rsid w:val="3EDA5CAF"/>
    <w:rsid w:val="3EEB00B7"/>
    <w:rsid w:val="3F146824"/>
    <w:rsid w:val="3F2D1069"/>
    <w:rsid w:val="3F886CE0"/>
    <w:rsid w:val="3FAA26B9"/>
    <w:rsid w:val="3FAC01DF"/>
    <w:rsid w:val="3FAC7342"/>
    <w:rsid w:val="3FBF43B6"/>
    <w:rsid w:val="3FC7326B"/>
    <w:rsid w:val="3FF1413B"/>
    <w:rsid w:val="3FF65710"/>
    <w:rsid w:val="401F616D"/>
    <w:rsid w:val="40273D0A"/>
    <w:rsid w:val="40363F4D"/>
    <w:rsid w:val="403B47F5"/>
    <w:rsid w:val="404623E2"/>
    <w:rsid w:val="4057396B"/>
    <w:rsid w:val="407056B1"/>
    <w:rsid w:val="407A6407"/>
    <w:rsid w:val="409855B5"/>
    <w:rsid w:val="409B7CCF"/>
    <w:rsid w:val="40A37834"/>
    <w:rsid w:val="40BC4452"/>
    <w:rsid w:val="40D23C76"/>
    <w:rsid w:val="40E30349"/>
    <w:rsid w:val="4114428E"/>
    <w:rsid w:val="417E7959"/>
    <w:rsid w:val="41E225DE"/>
    <w:rsid w:val="41E23732"/>
    <w:rsid w:val="4200449D"/>
    <w:rsid w:val="423A3BCC"/>
    <w:rsid w:val="423A5D78"/>
    <w:rsid w:val="424C5CAA"/>
    <w:rsid w:val="424E57D2"/>
    <w:rsid w:val="42B028B2"/>
    <w:rsid w:val="42B26C49"/>
    <w:rsid w:val="42C57F36"/>
    <w:rsid w:val="42D069A7"/>
    <w:rsid w:val="42D42A31"/>
    <w:rsid w:val="42F02AD9"/>
    <w:rsid w:val="42FB7C6F"/>
    <w:rsid w:val="43080B7C"/>
    <w:rsid w:val="430C24A7"/>
    <w:rsid w:val="433A6FE6"/>
    <w:rsid w:val="43462A23"/>
    <w:rsid w:val="43480868"/>
    <w:rsid w:val="434D7F2B"/>
    <w:rsid w:val="43503E1A"/>
    <w:rsid w:val="4350713C"/>
    <w:rsid w:val="436653E0"/>
    <w:rsid w:val="437139B6"/>
    <w:rsid w:val="4375175E"/>
    <w:rsid w:val="439B56B7"/>
    <w:rsid w:val="439F759A"/>
    <w:rsid w:val="43AC2EA4"/>
    <w:rsid w:val="43B34232"/>
    <w:rsid w:val="43B57349"/>
    <w:rsid w:val="43C4431A"/>
    <w:rsid w:val="445F730D"/>
    <w:rsid w:val="446217B4"/>
    <w:rsid w:val="44877B21"/>
    <w:rsid w:val="448C6831"/>
    <w:rsid w:val="44B951CC"/>
    <w:rsid w:val="44CD14E0"/>
    <w:rsid w:val="44D3620E"/>
    <w:rsid w:val="44E01648"/>
    <w:rsid w:val="44F20B0B"/>
    <w:rsid w:val="4510761C"/>
    <w:rsid w:val="452B1BA6"/>
    <w:rsid w:val="452E5F4C"/>
    <w:rsid w:val="453018B3"/>
    <w:rsid w:val="45542FCB"/>
    <w:rsid w:val="45612018"/>
    <w:rsid w:val="456164D6"/>
    <w:rsid w:val="45637592"/>
    <w:rsid w:val="456D21BF"/>
    <w:rsid w:val="457B7198"/>
    <w:rsid w:val="458546E5"/>
    <w:rsid w:val="458946E9"/>
    <w:rsid w:val="45941E41"/>
    <w:rsid w:val="45A40ECF"/>
    <w:rsid w:val="45A47C0E"/>
    <w:rsid w:val="45C93A73"/>
    <w:rsid w:val="45D5333F"/>
    <w:rsid w:val="46107377"/>
    <w:rsid w:val="46130FB8"/>
    <w:rsid w:val="461323F3"/>
    <w:rsid w:val="4623107C"/>
    <w:rsid w:val="46577FD6"/>
    <w:rsid w:val="467001B9"/>
    <w:rsid w:val="4678706D"/>
    <w:rsid w:val="46843C64"/>
    <w:rsid w:val="468E026E"/>
    <w:rsid w:val="469142B8"/>
    <w:rsid w:val="46D955A7"/>
    <w:rsid w:val="46FF03C9"/>
    <w:rsid w:val="4703102D"/>
    <w:rsid w:val="47133957"/>
    <w:rsid w:val="476E0DE5"/>
    <w:rsid w:val="47730DB1"/>
    <w:rsid w:val="478C2F7C"/>
    <w:rsid w:val="47906638"/>
    <w:rsid w:val="479779C7"/>
    <w:rsid w:val="47A07E0C"/>
    <w:rsid w:val="480A1F47"/>
    <w:rsid w:val="482B71EF"/>
    <w:rsid w:val="4839282C"/>
    <w:rsid w:val="4841267C"/>
    <w:rsid w:val="484D62D8"/>
    <w:rsid w:val="486378A9"/>
    <w:rsid w:val="4870272E"/>
    <w:rsid w:val="487274B4"/>
    <w:rsid w:val="48897310"/>
    <w:rsid w:val="48AB1D80"/>
    <w:rsid w:val="48AF2AEE"/>
    <w:rsid w:val="48C8082C"/>
    <w:rsid w:val="48EB7FCA"/>
    <w:rsid w:val="490D08BB"/>
    <w:rsid w:val="492876D1"/>
    <w:rsid w:val="493D00FA"/>
    <w:rsid w:val="49690988"/>
    <w:rsid w:val="497E0E3E"/>
    <w:rsid w:val="49825B8F"/>
    <w:rsid w:val="49862820"/>
    <w:rsid w:val="49A14FAF"/>
    <w:rsid w:val="49A632F3"/>
    <w:rsid w:val="49C67B19"/>
    <w:rsid w:val="49C820BA"/>
    <w:rsid w:val="49D34B55"/>
    <w:rsid w:val="49DC7715"/>
    <w:rsid w:val="4A023139"/>
    <w:rsid w:val="4A11580F"/>
    <w:rsid w:val="4A187AA1"/>
    <w:rsid w:val="4A2B43F6"/>
    <w:rsid w:val="4A34702F"/>
    <w:rsid w:val="4A7B576F"/>
    <w:rsid w:val="4A985F30"/>
    <w:rsid w:val="4AAA7A11"/>
    <w:rsid w:val="4AB0333B"/>
    <w:rsid w:val="4ABE45EE"/>
    <w:rsid w:val="4ADA311C"/>
    <w:rsid w:val="4AEB42B2"/>
    <w:rsid w:val="4AF561A9"/>
    <w:rsid w:val="4B154342"/>
    <w:rsid w:val="4B30028E"/>
    <w:rsid w:val="4B441C14"/>
    <w:rsid w:val="4B4B2FA2"/>
    <w:rsid w:val="4B531E57"/>
    <w:rsid w:val="4B5C51AF"/>
    <w:rsid w:val="4B785B6A"/>
    <w:rsid w:val="4B8464B4"/>
    <w:rsid w:val="4B871B00"/>
    <w:rsid w:val="4B904E59"/>
    <w:rsid w:val="4BA24F39"/>
    <w:rsid w:val="4BB376F9"/>
    <w:rsid w:val="4BB62E22"/>
    <w:rsid w:val="4BC92119"/>
    <w:rsid w:val="4BD474F3"/>
    <w:rsid w:val="4BE8485C"/>
    <w:rsid w:val="4C1A1042"/>
    <w:rsid w:val="4C356B84"/>
    <w:rsid w:val="4C4A0649"/>
    <w:rsid w:val="4C7E5ECA"/>
    <w:rsid w:val="4C876AA5"/>
    <w:rsid w:val="4C8F5375"/>
    <w:rsid w:val="4CC96874"/>
    <w:rsid w:val="4CDB0356"/>
    <w:rsid w:val="4CDF7E46"/>
    <w:rsid w:val="4CFA345C"/>
    <w:rsid w:val="4D0E00FB"/>
    <w:rsid w:val="4D176606"/>
    <w:rsid w:val="4D1903FE"/>
    <w:rsid w:val="4D205A92"/>
    <w:rsid w:val="4D371A30"/>
    <w:rsid w:val="4D7565F5"/>
    <w:rsid w:val="4D897DB2"/>
    <w:rsid w:val="4D926C66"/>
    <w:rsid w:val="4D956757"/>
    <w:rsid w:val="4DB02936"/>
    <w:rsid w:val="4DB56DF9"/>
    <w:rsid w:val="4DEC4FB0"/>
    <w:rsid w:val="4DF75E0A"/>
    <w:rsid w:val="4E075D8A"/>
    <w:rsid w:val="4E10402F"/>
    <w:rsid w:val="4E57104C"/>
    <w:rsid w:val="4E6D7288"/>
    <w:rsid w:val="4E8D742E"/>
    <w:rsid w:val="4EB81818"/>
    <w:rsid w:val="4EC00FAD"/>
    <w:rsid w:val="4ED95175"/>
    <w:rsid w:val="4EEE4370"/>
    <w:rsid w:val="4F0F42E7"/>
    <w:rsid w:val="4F2E6991"/>
    <w:rsid w:val="4F310701"/>
    <w:rsid w:val="4F3D2C02"/>
    <w:rsid w:val="4F822D0B"/>
    <w:rsid w:val="4F9843DC"/>
    <w:rsid w:val="4F9A62A6"/>
    <w:rsid w:val="4FC62A8C"/>
    <w:rsid w:val="4FDC68BF"/>
    <w:rsid w:val="4FE20F0D"/>
    <w:rsid w:val="4FE51552"/>
    <w:rsid w:val="50416722"/>
    <w:rsid w:val="50504C4B"/>
    <w:rsid w:val="5059001E"/>
    <w:rsid w:val="50641922"/>
    <w:rsid w:val="50847E24"/>
    <w:rsid w:val="508D161D"/>
    <w:rsid w:val="509C6E7C"/>
    <w:rsid w:val="50C64757"/>
    <w:rsid w:val="50D343E1"/>
    <w:rsid w:val="50EA0B67"/>
    <w:rsid w:val="5100482F"/>
    <w:rsid w:val="5117649A"/>
    <w:rsid w:val="51390786"/>
    <w:rsid w:val="51396369"/>
    <w:rsid w:val="513B2C5D"/>
    <w:rsid w:val="514021AB"/>
    <w:rsid w:val="515846C5"/>
    <w:rsid w:val="5162104E"/>
    <w:rsid w:val="516E3547"/>
    <w:rsid w:val="517448D5"/>
    <w:rsid w:val="51850890"/>
    <w:rsid w:val="518D7DF8"/>
    <w:rsid w:val="51930309"/>
    <w:rsid w:val="519F1952"/>
    <w:rsid w:val="51AE6039"/>
    <w:rsid w:val="51DB45D3"/>
    <w:rsid w:val="51E47906"/>
    <w:rsid w:val="51E94DD0"/>
    <w:rsid w:val="520D41CD"/>
    <w:rsid w:val="5217598C"/>
    <w:rsid w:val="522620F2"/>
    <w:rsid w:val="525A0F6B"/>
    <w:rsid w:val="526861E8"/>
    <w:rsid w:val="52C96326"/>
    <w:rsid w:val="52D45EC2"/>
    <w:rsid w:val="52DC6BD6"/>
    <w:rsid w:val="52F25D4B"/>
    <w:rsid w:val="52FD1026"/>
    <w:rsid w:val="53077388"/>
    <w:rsid w:val="530B16F1"/>
    <w:rsid w:val="531E71EE"/>
    <w:rsid w:val="5322283B"/>
    <w:rsid w:val="53311227"/>
    <w:rsid w:val="5356242A"/>
    <w:rsid w:val="535B3F9E"/>
    <w:rsid w:val="53733096"/>
    <w:rsid w:val="5394125E"/>
    <w:rsid w:val="53A039CC"/>
    <w:rsid w:val="53A1505A"/>
    <w:rsid w:val="53D55AFF"/>
    <w:rsid w:val="54063E08"/>
    <w:rsid w:val="543437E8"/>
    <w:rsid w:val="54754BEC"/>
    <w:rsid w:val="54AF5068"/>
    <w:rsid w:val="54F73313"/>
    <w:rsid w:val="54F80955"/>
    <w:rsid w:val="54FB4D1F"/>
    <w:rsid w:val="55160C9A"/>
    <w:rsid w:val="555170A7"/>
    <w:rsid w:val="55562C6F"/>
    <w:rsid w:val="556C4241"/>
    <w:rsid w:val="556D7EBA"/>
    <w:rsid w:val="5587536D"/>
    <w:rsid w:val="558B30E5"/>
    <w:rsid w:val="559B174B"/>
    <w:rsid w:val="55A40751"/>
    <w:rsid w:val="55C82660"/>
    <w:rsid w:val="55CE0CF4"/>
    <w:rsid w:val="55E262B1"/>
    <w:rsid w:val="55E30278"/>
    <w:rsid w:val="55E42BC2"/>
    <w:rsid w:val="55EB785C"/>
    <w:rsid w:val="56104B1C"/>
    <w:rsid w:val="56187F25"/>
    <w:rsid w:val="563A7E9B"/>
    <w:rsid w:val="5641747C"/>
    <w:rsid w:val="565847C5"/>
    <w:rsid w:val="565F7902"/>
    <w:rsid w:val="56755377"/>
    <w:rsid w:val="56B22A9C"/>
    <w:rsid w:val="56B23F72"/>
    <w:rsid w:val="56F85197"/>
    <w:rsid w:val="570249D9"/>
    <w:rsid w:val="57081D47"/>
    <w:rsid w:val="5714693E"/>
    <w:rsid w:val="5731251C"/>
    <w:rsid w:val="574A04A7"/>
    <w:rsid w:val="574D1E50"/>
    <w:rsid w:val="5755773E"/>
    <w:rsid w:val="57711FE2"/>
    <w:rsid w:val="57B72A76"/>
    <w:rsid w:val="57C303B0"/>
    <w:rsid w:val="57C3426C"/>
    <w:rsid w:val="57CE1F93"/>
    <w:rsid w:val="57FD73D2"/>
    <w:rsid w:val="58066945"/>
    <w:rsid w:val="581D5CC6"/>
    <w:rsid w:val="58296419"/>
    <w:rsid w:val="58682DFB"/>
    <w:rsid w:val="588743D1"/>
    <w:rsid w:val="5887701A"/>
    <w:rsid w:val="58A67A55"/>
    <w:rsid w:val="58C46142"/>
    <w:rsid w:val="58E271D2"/>
    <w:rsid w:val="5951368A"/>
    <w:rsid w:val="5988716F"/>
    <w:rsid w:val="598C5A1E"/>
    <w:rsid w:val="59A0270B"/>
    <w:rsid w:val="59BB1BC6"/>
    <w:rsid w:val="59C0439F"/>
    <w:rsid w:val="59C4289D"/>
    <w:rsid w:val="59C71C62"/>
    <w:rsid w:val="59CB0B2D"/>
    <w:rsid w:val="59D429F1"/>
    <w:rsid w:val="59EA7E2A"/>
    <w:rsid w:val="59F1740B"/>
    <w:rsid w:val="59F34F31"/>
    <w:rsid w:val="5A0802B0"/>
    <w:rsid w:val="5A0C5FF2"/>
    <w:rsid w:val="5A3115B5"/>
    <w:rsid w:val="5A345FC2"/>
    <w:rsid w:val="5A455061"/>
    <w:rsid w:val="5A760891"/>
    <w:rsid w:val="5AA91A93"/>
    <w:rsid w:val="5AAB6FEB"/>
    <w:rsid w:val="5ABD72ED"/>
    <w:rsid w:val="5ABE2233"/>
    <w:rsid w:val="5AE66844"/>
    <w:rsid w:val="5B1E5FDD"/>
    <w:rsid w:val="5B345801"/>
    <w:rsid w:val="5B4447B4"/>
    <w:rsid w:val="5B4A1675"/>
    <w:rsid w:val="5B5F2152"/>
    <w:rsid w:val="5B834092"/>
    <w:rsid w:val="5B872988"/>
    <w:rsid w:val="5BAF6C35"/>
    <w:rsid w:val="5BDB7A2A"/>
    <w:rsid w:val="5BDF5D95"/>
    <w:rsid w:val="5BEC121C"/>
    <w:rsid w:val="5BF64694"/>
    <w:rsid w:val="5BFE7528"/>
    <w:rsid w:val="5C25339C"/>
    <w:rsid w:val="5C4523E8"/>
    <w:rsid w:val="5C5438D3"/>
    <w:rsid w:val="5C7F6C66"/>
    <w:rsid w:val="5CBD1826"/>
    <w:rsid w:val="5CE46DB3"/>
    <w:rsid w:val="5D1256CE"/>
    <w:rsid w:val="5D2B52D8"/>
    <w:rsid w:val="5D665636"/>
    <w:rsid w:val="5D877D74"/>
    <w:rsid w:val="5DDD65A9"/>
    <w:rsid w:val="5DF77954"/>
    <w:rsid w:val="5DFD17CB"/>
    <w:rsid w:val="5E097DBE"/>
    <w:rsid w:val="5E2467F1"/>
    <w:rsid w:val="5E2C0A12"/>
    <w:rsid w:val="5E513468"/>
    <w:rsid w:val="5E761C8C"/>
    <w:rsid w:val="5EE3728C"/>
    <w:rsid w:val="5F1A2B43"/>
    <w:rsid w:val="5F30008D"/>
    <w:rsid w:val="5F374E01"/>
    <w:rsid w:val="5F4B3DBC"/>
    <w:rsid w:val="5F553F98"/>
    <w:rsid w:val="5F5C5FB8"/>
    <w:rsid w:val="5F5D7E6D"/>
    <w:rsid w:val="5F6D4A22"/>
    <w:rsid w:val="5F922AF6"/>
    <w:rsid w:val="5F98380B"/>
    <w:rsid w:val="5FB837BB"/>
    <w:rsid w:val="5FE031E6"/>
    <w:rsid w:val="600339F4"/>
    <w:rsid w:val="60145C01"/>
    <w:rsid w:val="60171DAE"/>
    <w:rsid w:val="601E438A"/>
    <w:rsid w:val="606721D5"/>
    <w:rsid w:val="6079146D"/>
    <w:rsid w:val="60BA4B27"/>
    <w:rsid w:val="60C07B37"/>
    <w:rsid w:val="60CC405A"/>
    <w:rsid w:val="60DE061A"/>
    <w:rsid w:val="60E530F9"/>
    <w:rsid w:val="60EE0200"/>
    <w:rsid w:val="60F31CBA"/>
    <w:rsid w:val="611054B1"/>
    <w:rsid w:val="616109D2"/>
    <w:rsid w:val="619F6182"/>
    <w:rsid w:val="61B72CE8"/>
    <w:rsid w:val="61E215D8"/>
    <w:rsid w:val="621B3775"/>
    <w:rsid w:val="621C6FEF"/>
    <w:rsid w:val="621F43E9"/>
    <w:rsid w:val="62314848"/>
    <w:rsid w:val="62364782"/>
    <w:rsid w:val="62682234"/>
    <w:rsid w:val="627A0A86"/>
    <w:rsid w:val="62912A31"/>
    <w:rsid w:val="62B43279"/>
    <w:rsid w:val="62C1708F"/>
    <w:rsid w:val="637013A0"/>
    <w:rsid w:val="637864A7"/>
    <w:rsid w:val="6394356A"/>
    <w:rsid w:val="63977DC5"/>
    <w:rsid w:val="63A23C5E"/>
    <w:rsid w:val="63C61B2C"/>
    <w:rsid w:val="63D40BE9"/>
    <w:rsid w:val="63F35B2D"/>
    <w:rsid w:val="64102431"/>
    <w:rsid w:val="64232438"/>
    <w:rsid w:val="643C1282"/>
    <w:rsid w:val="64485E79"/>
    <w:rsid w:val="644D18E5"/>
    <w:rsid w:val="6466627B"/>
    <w:rsid w:val="64781414"/>
    <w:rsid w:val="647E5D3F"/>
    <w:rsid w:val="64A5243A"/>
    <w:rsid w:val="64D52842"/>
    <w:rsid w:val="64F14FE5"/>
    <w:rsid w:val="64F531DE"/>
    <w:rsid w:val="64F769C8"/>
    <w:rsid w:val="64FB2EEB"/>
    <w:rsid w:val="65047D7F"/>
    <w:rsid w:val="65077AE2"/>
    <w:rsid w:val="650E70C3"/>
    <w:rsid w:val="652F7039"/>
    <w:rsid w:val="65373578"/>
    <w:rsid w:val="654148A5"/>
    <w:rsid w:val="655429FD"/>
    <w:rsid w:val="6592268F"/>
    <w:rsid w:val="65B431E5"/>
    <w:rsid w:val="65D75707"/>
    <w:rsid w:val="660D1128"/>
    <w:rsid w:val="665A603D"/>
    <w:rsid w:val="66613222"/>
    <w:rsid w:val="668C4743"/>
    <w:rsid w:val="668D3907"/>
    <w:rsid w:val="66AB0DB4"/>
    <w:rsid w:val="66C468A5"/>
    <w:rsid w:val="66D954AE"/>
    <w:rsid w:val="66E300DB"/>
    <w:rsid w:val="671F124A"/>
    <w:rsid w:val="672030DD"/>
    <w:rsid w:val="67460936"/>
    <w:rsid w:val="677A33C6"/>
    <w:rsid w:val="677F7E04"/>
    <w:rsid w:val="67A1421E"/>
    <w:rsid w:val="67AD6CFD"/>
    <w:rsid w:val="67DF08A2"/>
    <w:rsid w:val="67EE709E"/>
    <w:rsid w:val="68004A7F"/>
    <w:rsid w:val="68032B75"/>
    <w:rsid w:val="68140659"/>
    <w:rsid w:val="681F6961"/>
    <w:rsid w:val="68610A2F"/>
    <w:rsid w:val="686341C2"/>
    <w:rsid w:val="687E630D"/>
    <w:rsid w:val="687F3E33"/>
    <w:rsid w:val="68805514"/>
    <w:rsid w:val="68837A86"/>
    <w:rsid w:val="68914293"/>
    <w:rsid w:val="68923B68"/>
    <w:rsid w:val="689A0C6D"/>
    <w:rsid w:val="68B059AC"/>
    <w:rsid w:val="68D05586"/>
    <w:rsid w:val="68F77E6E"/>
    <w:rsid w:val="69132EFA"/>
    <w:rsid w:val="69316E2F"/>
    <w:rsid w:val="693E784B"/>
    <w:rsid w:val="694E2071"/>
    <w:rsid w:val="69766163"/>
    <w:rsid w:val="697A3B33"/>
    <w:rsid w:val="698B3D7C"/>
    <w:rsid w:val="69AB75AC"/>
    <w:rsid w:val="69B103D3"/>
    <w:rsid w:val="69C61A8C"/>
    <w:rsid w:val="69CA5CED"/>
    <w:rsid w:val="69CF64E3"/>
    <w:rsid w:val="69D44760"/>
    <w:rsid w:val="69EC72A7"/>
    <w:rsid w:val="69F85BB3"/>
    <w:rsid w:val="69FB0250"/>
    <w:rsid w:val="69FB7AA8"/>
    <w:rsid w:val="6A1A2DF7"/>
    <w:rsid w:val="6A2765D3"/>
    <w:rsid w:val="6A520EC7"/>
    <w:rsid w:val="6A5F3F1C"/>
    <w:rsid w:val="6A70612A"/>
    <w:rsid w:val="6A786D8C"/>
    <w:rsid w:val="6A876CDE"/>
    <w:rsid w:val="6AB9362D"/>
    <w:rsid w:val="6ACD7154"/>
    <w:rsid w:val="6AD55F8D"/>
    <w:rsid w:val="6AD9782B"/>
    <w:rsid w:val="6ADC77CB"/>
    <w:rsid w:val="6AE663EC"/>
    <w:rsid w:val="6AF87E20"/>
    <w:rsid w:val="6B0C3E2C"/>
    <w:rsid w:val="6B142F59"/>
    <w:rsid w:val="6B322639"/>
    <w:rsid w:val="6B516267"/>
    <w:rsid w:val="6B7B6417"/>
    <w:rsid w:val="6B911844"/>
    <w:rsid w:val="6BA3608B"/>
    <w:rsid w:val="6BAA7419"/>
    <w:rsid w:val="6BB36F40"/>
    <w:rsid w:val="6BC73B27"/>
    <w:rsid w:val="6BE0108D"/>
    <w:rsid w:val="6C184383"/>
    <w:rsid w:val="6C1D18DA"/>
    <w:rsid w:val="6C2331F5"/>
    <w:rsid w:val="6C5B6FE9"/>
    <w:rsid w:val="6C636C38"/>
    <w:rsid w:val="6C712357"/>
    <w:rsid w:val="6C846341"/>
    <w:rsid w:val="6C89702F"/>
    <w:rsid w:val="6C975BF0"/>
    <w:rsid w:val="6C9C6D62"/>
    <w:rsid w:val="6CDF3E12"/>
    <w:rsid w:val="6D162FB8"/>
    <w:rsid w:val="6D1F0800"/>
    <w:rsid w:val="6D350F65"/>
    <w:rsid w:val="6D401CBE"/>
    <w:rsid w:val="6D4672D9"/>
    <w:rsid w:val="6D5B1D09"/>
    <w:rsid w:val="6D612359"/>
    <w:rsid w:val="6D614F64"/>
    <w:rsid w:val="6D7E290C"/>
    <w:rsid w:val="6D9B27AB"/>
    <w:rsid w:val="6DB34098"/>
    <w:rsid w:val="6DB545B6"/>
    <w:rsid w:val="6DB97DE8"/>
    <w:rsid w:val="6DBA29C5"/>
    <w:rsid w:val="6DE02FB4"/>
    <w:rsid w:val="6DE76703"/>
    <w:rsid w:val="6E3B1A16"/>
    <w:rsid w:val="6E514CED"/>
    <w:rsid w:val="6E7F4B8D"/>
    <w:rsid w:val="6E834542"/>
    <w:rsid w:val="6EB563D5"/>
    <w:rsid w:val="6EC95C51"/>
    <w:rsid w:val="6ECB392F"/>
    <w:rsid w:val="6ED30A35"/>
    <w:rsid w:val="6ED92677"/>
    <w:rsid w:val="6EF72976"/>
    <w:rsid w:val="6EFC1D3A"/>
    <w:rsid w:val="6F225983"/>
    <w:rsid w:val="6F29122F"/>
    <w:rsid w:val="6F4C3BDE"/>
    <w:rsid w:val="6F5E0C47"/>
    <w:rsid w:val="6F653D83"/>
    <w:rsid w:val="6F7246F2"/>
    <w:rsid w:val="6F8A5598"/>
    <w:rsid w:val="6F963F3C"/>
    <w:rsid w:val="6FA10B33"/>
    <w:rsid w:val="6FA5328B"/>
    <w:rsid w:val="6FC3235A"/>
    <w:rsid w:val="6FCF744E"/>
    <w:rsid w:val="6FE50A20"/>
    <w:rsid w:val="6FEF189F"/>
    <w:rsid w:val="6FFC5590"/>
    <w:rsid w:val="70180DF6"/>
    <w:rsid w:val="702A6D7B"/>
    <w:rsid w:val="702B09A9"/>
    <w:rsid w:val="704E2A69"/>
    <w:rsid w:val="706D1DD0"/>
    <w:rsid w:val="70717342"/>
    <w:rsid w:val="70856B87"/>
    <w:rsid w:val="70AB7EBB"/>
    <w:rsid w:val="70B30B1E"/>
    <w:rsid w:val="70D527EE"/>
    <w:rsid w:val="71094BE2"/>
    <w:rsid w:val="71142A16"/>
    <w:rsid w:val="712832BA"/>
    <w:rsid w:val="71454C52"/>
    <w:rsid w:val="715B5300"/>
    <w:rsid w:val="716360A0"/>
    <w:rsid w:val="71D27F8A"/>
    <w:rsid w:val="71F97D72"/>
    <w:rsid w:val="721642F4"/>
    <w:rsid w:val="721E268A"/>
    <w:rsid w:val="72404633"/>
    <w:rsid w:val="72406E13"/>
    <w:rsid w:val="724C7C4B"/>
    <w:rsid w:val="72553024"/>
    <w:rsid w:val="726A16B0"/>
    <w:rsid w:val="727655E1"/>
    <w:rsid w:val="72802C82"/>
    <w:rsid w:val="72B017B9"/>
    <w:rsid w:val="72B868C0"/>
    <w:rsid w:val="72C54B39"/>
    <w:rsid w:val="72CC236B"/>
    <w:rsid w:val="72DA58DB"/>
    <w:rsid w:val="72DA5A1A"/>
    <w:rsid w:val="73060561"/>
    <w:rsid w:val="73122968"/>
    <w:rsid w:val="73124008"/>
    <w:rsid w:val="73133AF6"/>
    <w:rsid w:val="731F5D5E"/>
    <w:rsid w:val="736C1801"/>
    <w:rsid w:val="738D5656"/>
    <w:rsid w:val="73C51AD5"/>
    <w:rsid w:val="7400407A"/>
    <w:rsid w:val="740F0761"/>
    <w:rsid w:val="74173EF0"/>
    <w:rsid w:val="741B5358"/>
    <w:rsid w:val="741E793C"/>
    <w:rsid w:val="744877CF"/>
    <w:rsid w:val="745E3944"/>
    <w:rsid w:val="74750660"/>
    <w:rsid w:val="74860DE1"/>
    <w:rsid w:val="748B6314"/>
    <w:rsid w:val="74C43F61"/>
    <w:rsid w:val="74C51996"/>
    <w:rsid w:val="74CE72C2"/>
    <w:rsid w:val="74D81C55"/>
    <w:rsid w:val="74E41BEE"/>
    <w:rsid w:val="75232716"/>
    <w:rsid w:val="752E4C17"/>
    <w:rsid w:val="75516763"/>
    <w:rsid w:val="75706FDE"/>
    <w:rsid w:val="757226DA"/>
    <w:rsid w:val="75864A53"/>
    <w:rsid w:val="758807CB"/>
    <w:rsid w:val="758D62B1"/>
    <w:rsid w:val="75963E20"/>
    <w:rsid w:val="75A03D67"/>
    <w:rsid w:val="75C630A2"/>
    <w:rsid w:val="75E4475D"/>
    <w:rsid w:val="75E71C28"/>
    <w:rsid w:val="762A53DF"/>
    <w:rsid w:val="7635099D"/>
    <w:rsid w:val="76402E54"/>
    <w:rsid w:val="76872831"/>
    <w:rsid w:val="769515F9"/>
    <w:rsid w:val="76A5715B"/>
    <w:rsid w:val="76B178AE"/>
    <w:rsid w:val="76FD6F97"/>
    <w:rsid w:val="771D13E7"/>
    <w:rsid w:val="7728448C"/>
    <w:rsid w:val="773504DF"/>
    <w:rsid w:val="77515A15"/>
    <w:rsid w:val="7769462C"/>
    <w:rsid w:val="77762421"/>
    <w:rsid w:val="77775436"/>
    <w:rsid w:val="777F175A"/>
    <w:rsid w:val="77916DD3"/>
    <w:rsid w:val="77B04009"/>
    <w:rsid w:val="77B56B1F"/>
    <w:rsid w:val="77CB2BF1"/>
    <w:rsid w:val="780A641D"/>
    <w:rsid w:val="780D6D66"/>
    <w:rsid w:val="780F09F4"/>
    <w:rsid w:val="783365AA"/>
    <w:rsid w:val="784656A1"/>
    <w:rsid w:val="784F3822"/>
    <w:rsid w:val="78623556"/>
    <w:rsid w:val="786848E4"/>
    <w:rsid w:val="788E714D"/>
    <w:rsid w:val="78A90480"/>
    <w:rsid w:val="78AD4D6C"/>
    <w:rsid w:val="78C807D6"/>
    <w:rsid w:val="78DE0702"/>
    <w:rsid w:val="790939D1"/>
    <w:rsid w:val="792627D5"/>
    <w:rsid w:val="7932694D"/>
    <w:rsid w:val="793F5645"/>
    <w:rsid w:val="794C1B10"/>
    <w:rsid w:val="79604208"/>
    <w:rsid w:val="79734051"/>
    <w:rsid w:val="79751067"/>
    <w:rsid w:val="797A6CFB"/>
    <w:rsid w:val="79892101"/>
    <w:rsid w:val="79A4194C"/>
    <w:rsid w:val="79A670BB"/>
    <w:rsid w:val="79CD2C51"/>
    <w:rsid w:val="79D614B5"/>
    <w:rsid w:val="79F44B96"/>
    <w:rsid w:val="7A127DEE"/>
    <w:rsid w:val="7A2465E9"/>
    <w:rsid w:val="7A364017"/>
    <w:rsid w:val="7A637111"/>
    <w:rsid w:val="7A700B6D"/>
    <w:rsid w:val="7A7174A3"/>
    <w:rsid w:val="7A8111B2"/>
    <w:rsid w:val="7A8265E1"/>
    <w:rsid w:val="7A925C48"/>
    <w:rsid w:val="7AE13701"/>
    <w:rsid w:val="7AF20702"/>
    <w:rsid w:val="7B0C1557"/>
    <w:rsid w:val="7B271C76"/>
    <w:rsid w:val="7B31720F"/>
    <w:rsid w:val="7B495703"/>
    <w:rsid w:val="7B5F3D7C"/>
    <w:rsid w:val="7B686D42"/>
    <w:rsid w:val="7B841746"/>
    <w:rsid w:val="7B931C78"/>
    <w:rsid w:val="7BB265A2"/>
    <w:rsid w:val="7BE97AEA"/>
    <w:rsid w:val="7BFC781D"/>
    <w:rsid w:val="7C3B5E92"/>
    <w:rsid w:val="7C3F595C"/>
    <w:rsid w:val="7C5C4760"/>
    <w:rsid w:val="7C6C5AC7"/>
    <w:rsid w:val="7CA83501"/>
    <w:rsid w:val="7CB37868"/>
    <w:rsid w:val="7CC6544B"/>
    <w:rsid w:val="7CDE0A96"/>
    <w:rsid w:val="7D0239FF"/>
    <w:rsid w:val="7D1A3D86"/>
    <w:rsid w:val="7D22050C"/>
    <w:rsid w:val="7D250FF6"/>
    <w:rsid w:val="7D316449"/>
    <w:rsid w:val="7D3923AB"/>
    <w:rsid w:val="7D545437"/>
    <w:rsid w:val="7D5E40CD"/>
    <w:rsid w:val="7D6C4916"/>
    <w:rsid w:val="7D6E2861"/>
    <w:rsid w:val="7D7635FF"/>
    <w:rsid w:val="7D9817C8"/>
    <w:rsid w:val="7DB90646"/>
    <w:rsid w:val="7DCD56F2"/>
    <w:rsid w:val="7E290672"/>
    <w:rsid w:val="7E431733"/>
    <w:rsid w:val="7E4A06B1"/>
    <w:rsid w:val="7E9401E1"/>
    <w:rsid w:val="7EB443DF"/>
    <w:rsid w:val="7ECF1219"/>
    <w:rsid w:val="7ECF746B"/>
    <w:rsid w:val="7EF2014F"/>
    <w:rsid w:val="7EF377C6"/>
    <w:rsid w:val="7EF471EE"/>
    <w:rsid w:val="7EF66777"/>
    <w:rsid w:val="7F001CE7"/>
    <w:rsid w:val="7F166E48"/>
    <w:rsid w:val="7F1C1F84"/>
    <w:rsid w:val="7F1D70EA"/>
    <w:rsid w:val="7F3B26DE"/>
    <w:rsid w:val="7F4514DB"/>
    <w:rsid w:val="7F475253"/>
    <w:rsid w:val="7F4C286A"/>
    <w:rsid w:val="7F50102C"/>
    <w:rsid w:val="7F547970"/>
    <w:rsid w:val="7F5A57DC"/>
    <w:rsid w:val="7F5B485B"/>
    <w:rsid w:val="7F6556D9"/>
    <w:rsid w:val="7F6F6558"/>
    <w:rsid w:val="7F7A5ACC"/>
    <w:rsid w:val="7F7D2A23"/>
    <w:rsid w:val="7FA36202"/>
    <w:rsid w:val="7FAE0E2E"/>
    <w:rsid w:val="7FCA378E"/>
    <w:rsid w:val="7FCC7507"/>
    <w:rsid w:val="7FDD34C2"/>
    <w:rsid w:val="7FE47E50"/>
    <w:rsid w:val="7FF806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39" w:semiHidden="0" w:name="toc 2" w:locked="1"/>
    <w:lsdException w:qFormat="1" w:unhideWhenUsed="0" w:uiPriority="0"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qFormat="1" w:uiPriority="99"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unhideWhenUsed/>
    <w:qFormat/>
    <w:locked/>
    <w:uiPriority w:val="0"/>
    <w:pPr>
      <w:keepNext/>
      <w:keepLines/>
      <w:jc w:val="left"/>
      <w:outlineLvl w:val="1"/>
    </w:pPr>
    <w:rPr>
      <w:b/>
      <w:sz w:val="30"/>
    </w:rPr>
  </w:style>
  <w:style w:type="paragraph" w:styleId="6">
    <w:name w:val="heading 3"/>
    <w:basedOn w:val="1"/>
    <w:next w:val="1"/>
    <w:qFormat/>
    <w:locked/>
    <w:uiPriority w:val="0"/>
    <w:pPr>
      <w:keepNext/>
      <w:keepLines/>
      <w:spacing w:before="260" w:after="260" w:line="416" w:lineRule="auto"/>
      <w:outlineLvl w:val="2"/>
    </w:pPr>
    <w:rPr>
      <w:b/>
      <w:bCs/>
      <w:sz w:val="32"/>
      <w:szCs w:val="32"/>
    </w:rPr>
  </w:style>
  <w:style w:type="paragraph" w:styleId="7">
    <w:name w:val="heading 4"/>
    <w:basedOn w:val="1"/>
    <w:next w:val="1"/>
    <w:qFormat/>
    <w:locked/>
    <w:uiPriority w:val="0"/>
    <w:pPr>
      <w:numPr>
        <w:ilvl w:val="3"/>
        <w:numId w:val="1"/>
      </w:numPr>
      <w:overflowPunct w:val="0"/>
      <w:autoSpaceDE w:val="0"/>
      <w:autoSpaceDN w:val="0"/>
      <w:textAlignment w:val="baseline"/>
      <w:outlineLvl w:val="3"/>
    </w:pPr>
    <w:rPr>
      <w:rFonts w:ascii="Calibri"/>
      <w:b/>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locked/>
    <w:uiPriority w:val="0"/>
    <w:pPr>
      <w:ind w:firstLine="200" w:firstLineChars="200"/>
    </w:pPr>
  </w:style>
  <w:style w:type="paragraph" w:styleId="3">
    <w:name w:val="Body Text Indent"/>
    <w:basedOn w:val="1"/>
    <w:link w:val="48"/>
    <w:qFormat/>
    <w:uiPriority w:val="0"/>
    <w:pPr>
      <w:spacing w:after="120"/>
      <w:ind w:left="420" w:leftChars="200"/>
    </w:pPr>
    <w:rPr>
      <w:kern w:val="0"/>
      <w:sz w:val="24"/>
      <w:szCs w:val="20"/>
    </w:rPr>
  </w:style>
  <w:style w:type="paragraph" w:styleId="8">
    <w:name w:val="E-mail Signature"/>
    <w:basedOn w:val="1"/>
    <w:next w:val="9"/>
    <w:unhideWhenUsed/>
    <w:qFormat/>
    <w:locked/>
    <w:uiPriority w:val="99"/>
    <w:pPr>
      <w:spacing w:line="460" w:lineRule="exact"/>
      <w:ind w:firstLine="200"/>
    </w:pPr>
  </w:style>
  <w:style w:type="paragraph" w:customStyle="1" w:styleId="9">
    <w:name w:val="文章"/>
    <w:basedOn w:val="3"/>
    <w:next w:val="10"/>
    <w:qFormat/>
    <w:uiPriority w:val="0"/>
    <w:pPr>
      <w:ind w:firstLine="480"/>
      <w:jc w:val="center"/>
    </w:pPr>
    <w:rPr>
      <w:kern w:val="2"/>
      <w:sz w:val="26"/>
      <w:szCs w:val="22"/>
    </w:rPr>
  </w:style>
  <w:style w:type="paragraph" w:styleId="10">
    <w:name w:val="List"/>
    <w:basedOn w:val="1"/>
    <w:next w:val="11"/>
    <w:unhideWhenUsed/>
    <w:qFormat/>
    <w:locked/>
    <w:uiPriority w:val="99"/>
    <w:pPr>
      <w:ind w:left="420" w:hanging="420" w:hangingChars="200"/>
    </w:pPr>
    <w:rPr>
      <w:color w:val="000000"/>
      <w:kern w:val="11"/>
      <w:sz w:val="28"/>
      <w:szCs w:val="27"/>
    </w:rPr>
  </w:style>
  <w:style w:type="paragraph" w:styleId="11">
    <w:name w:val="List Bullet 2"/>
    <w:basedOn w:val="1"/>
    <w:next w:val="12"/>
    <w:qFormat/>
    <w:locked/>
    <w:uiPriority w:val="0"/>
    <w:pPr>
      <w:numPr>
        <w:ilvl w:val="0"/>
        <w:numId w:val="2"/>
      </w:numPr>
    </w:pPr>
  </w:style>
  <w:style w:type="paragraph" w:customStyle="1" w:styleId="12">
    <w:name w:val="xl70"/>
    <w:basedOn w:val="1"/>
    <w:next w:val="13"/>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sz w:val="20"/>
      <w:szCs w:val="20"/>
    </w:rPr>
  </w:style>
  <w:style w:type="paragraph" w:customStyle="1" w:styleId="13">
    <w:name w:val="正文缩进1"/>
    <w:basedOn w:val="14"/>
    <w:next w:val="15"/>
    <w:qFormat/>
    <w:uiPriority w:val="0"/>
    <w:pPr>
      <w:spacing w:before="156" w:beforeLines="50" w:after="156" w:afterLines="50"/>
      <w:ind w:firstLine="1048" w:firstLineChars="435"/>
      <w:jc w:val="center"/>
    </w:pPr>
    <w:rPr>
      <w:rFonts w:ascii="宋体" w:hAnsi="宋体"/>
      <w:b/>
      <w:bCs/>
      <w:color w:val="000000"/>
      <w:kern w:val="24"/>
      <w:sz w:val="24"/>
    </w:rPr>
  </w:style>
  <w:style w:type="paragraph" w:styleId="14">
    <w:name w:val="Normal Indent"/>
    <w:basedOn w:val="1"/>
    <w:next w:val="1"/>
    <w:qFormat/>
    <w:locked/>
    <w:uiPriority w:val="0"/>
    <w:pPr>
      <w:ind w:firstLine="420"/>
    </w:pPr>
    <w:rPr>
      <w:szCs w:val="20"/>
    </w:rPr>
  </w:style>
  <w:style w:type="paragraph" w:customStyle="1" w:styleId="15">
    <w:name w:val="td1"/>
    <w:basedOn w:val="1"/>
    <w:next w:val="1"/>
    <w:qFormat/>
    <w:uiPriority w:val="0"/>
    <w:pPr>
      <w:widowControl/>
      <w:spacing w:before="280" w:after="280" w:line="300" w:lineRule="atLeast"/>
      <w:ind w:firstLine="200"/>
    </w:pPr>
    <w:rPr>
      <w:color w:val="000000"/>
      <w:sz w:val="18"/>
    </w:rPr>
  </w:style>
  <w:style w:type="paragraph" w:styleId="16">
    <w:name w:val="caption"/>
    <w:basedOn w:val="1"/>
    <w:next w:val="17"/>
    <w:qFormat/>
    <w:locked/>
    <w:uiPriority w:val="0"/>
    <w:pPr>
      <w:jc w:val="center"/>
    </w:pPr>
    <w:rPr>
      <w:b/>
      <w:bCs/>
      <w:szCs w:val="21"/>
    </w:rPr>
  </w:style>
  <w:style w:type="paragraph" w:styleId="17">
    <w:name w:val="Body Text First Indent"/>
    <w:basedOn w:val="18"/>
    <w:qFormat/>
    <w:locked/>
    <w:uiPriority w:val="0"/>
    <w:pPr>
      <w:adjustRightInd w:val="0"/>
      <w:snapToGrid/>
      <w:spacing w:after="120" w:line="312" w:lineRule="atLeast"/>
      <w:ind w:firstLine="420"/>
      <w:textAlignment w:val="baseline"/>
    </w:pPr>
    <w:rPr>
      <w:sz w:val="21"/>
    </w:rPr>
  </w:style>
  <w:style w:type="paragraph" w:styleId="18">
    <w:name w:val="Body Text"/>
    <w:basedOn w:val="1"/>
    <w:link w:val="43"/>
    <w:qFormat/>
    <w:uiPriority w:val="0"/>
    <w:pPr>
      <w:widowControl/>
      <w:snapToGrid w:val="0"/>
      <w:spacing w:before="60" w:after="160" w:line="259" w:lineRule="auto"/>
      <w:ind w:right="113"/>
    </w:pPr>
    <w:rPr>
      <w:kern w:val="0"/>
      <w:sz w:val="18"/>
      <w:szCs w:val="20"/>
    </w:rPr>
  </w:style>
  <w:style w:type="paragraph" w:styleId="19">
    <w:name w:val="annotation text"/>
    <w:basedOn w:val="1"/>
    <w:link w:val="47"/>
    <w:semiHidden/>
    <w:qFormat/>
    <w:uiPriority w:val="0"/>
    <w:pPr>
      <w:jc w:val="left"/>
    </w:pPr>
    <w:rPr>
      <w:kern w:val="0"/>
      <w:sz w:val="24"/>
      <w:szCs w:val="20"/>
    </w:rPr>
  </w:style>
  <w:style w:type="paragraph" w:styleId="20">
    <w:name w:val="toc 5"/>
    <w:basedOn w:val="1"/>
    <w:next w:val="1"/>
    <w:qFormat/>
    <w:locked/>
    <w:uiPriority w:val="0"/>
    <w:pPr>
      <w:ind w:left="840"/>
      <w:jc w:val="left"/>
    </w:pPr>
    <w:rPr>
      <w:sz w:val="18"/>
      <w:szCs w:val="18"/>
    </w:rPr>
  </w:style>
  <w:style w:type="paragraph" w:styleId="21">
    <w:name w:val="toc 3"/>
    <w:basedOn w:val="1"/>
    <w:next w:val="1"/>
    <w:qFormat/>
    <w:locked/>
    <w:uiPriority w:val="0"/>
    <w:pPr>
      <w:ind w:left="840" w:leftChars="400"/>
    </w:pPr>
  </w:style>
  <w:style w:type="paragraph" w:styleId="22">
    <w:name w:val="Plain Text"/>
    <w:basedOn w:val="1"/>
    <w:next w:val="1"/>
    <w:qFormat/>
    <w:locked/>
    <w:uiPriority w:val="0"/>
    <w:rPr>
      <w:rFonts w:ascii="宋体" w:hAnsi="Courier New"/>
      <w:szCs w:val="20"/>
    </w:rPr>
  </w:style>
  <w:style w:type="paragraph" w:styleId="23">
    <w:name w:val="List Bullet 5"/>
    <w:basedOn w:val="1"/>
    <w:qFormat/>
    <w:locked/>
    <w:uiPriority w:val="0"/>
    <w:pPr>
      <w:numPr>
        <w:ilvl w:val="0"/>
        <w:numId w:val="3"/>
      </w:numPr>
    </w:pPr>
  </w:style>
  <w:style w:type="paragraph" w:styleId="24">
    <w:name w:val="Date"/>
    <w:basedOn w:val="1"/>
    <w:next w:val="1"/>
    <w:link w:val="49"/>
    <w:qFormat/>
    <w:uiPriority w:val="0"/>
    <w:pPr>
      <w:ind w:left="100" w:leftChars="2500"/>
    </w:pPr>
    <w:rPr>
      <w:kern w:val="0"/>
      <w:sz w:val="24"/>
      <w:szCs w:val="20"/>
    </w:rPr>
  </w:style>
  <w:style w:type="paragraph" w:styleId="25">
    <w:name w:val="Balloon Text"/>
    <w:basedOn w:val="1"/>
    <w:link w:val="50"/>
    <w:semiHidden/>
    <w:qFormat/>
    <w:uiPriority w:val="0"/>
    <w:rPr>
      <w:kern w:val="0"/>
      <w:sz w:val="18"/>
      <w:szCs w:val="20"/>
    </w:rPr>
  </w:style>
  <w:style w:type="paragraph" w:styleId="26">
    <w:name w:val="footer"/>
    <w:basedOn w:val="1"/>
    <w:link w:val="51"/>
    <w:qFormat/>
    <w:uiPriority w:val="99"/>
    <w:pPr>
      <w:tabs>
        <w:tab w:val="center" w:pos="4153"/>
        <w:tab w:val="right" w:pos="8306"/>
      </w:tabs>
      <w:snapToGrid w:val="0"/>
      <w:jc w:val="left"/>
    </w:pPr>
    <w:rPr>
      <w:kern w:val="0"/>
      <w:sz w:val="18"/>
      <w:szCs w:val="20"/>
    </w:rPr>
  </w:style>
  <w:style w:type="paragraph" w:styleId="27">
    <w:name w:val="header"/>
    <w:basedOn w:val="1"/>
    <w:link w:val="52"/>
    <w:qFormat/>
    <w:uiPriority w:val="0"/>
    <w:pPr>
      <w:pBdr>
        <w:bottom w:val="single" w:color="auto" w:sz="6" w:space="1"/>
      </w:pBdr>
      <w:tabs>
        <w:tab w:val="center" w:pos="4153"/>
        <w:tab w:val="right" w:pos="8306"/>
      </w:tabs>
      <w:snapToGrid w:val="0"/>
      <w:jc w:val="center"/>
    </w:pPr>
    <w:rPr>
      <w:kern w:val="0"/>
      <w:sz w:val="18"/>
      <w:szCs w:val="20"/>
    </w:rPr>
  </w:style>
  <w:style w:type="paragraph" w:styleId="28">
    <w:name w:val="toc 1"/>
    <w:basedOn w:val="1"/>
    <w:next w:val="1"/>
    <w:qFormat/>
    <w:locked/>
    <w:uiPriority w:val="0"/>
  </w:style>
  <w:style w:type="paragraph" w:styleId="29">
    <w:name w:val="toc 2"/>
    <w:basedOn w:val="1"/>
    <w:next w:val="1"/>
    <w:qFormat/>
    <w:locked/>
    <w:uiPriority w:val="39"/>
    <w:pPr>
      <w:ind w:left="210"/>
      <w:jc w:val="left"/>
    </w:pPr>
    <w:rPr>
      <w:smallCaps/>
      <w:sz w:val="20"/>
      <w:szCs w:val="20"/>
    </w:rPr>
  </w:style>
  <w:style w:type="paragraph" w:styleId="30">
    <w:name w:val="Normal (Web)"/>
    <w:basedOn w:val="1"/>
    <w:link w:val="53"/>
    <w:qFormat/>
    <w:uiPriority w:val="0"/>
    <w:pPr>
      <w:widowControl/>
      <w:spacing w:before="100" w:beforeAutospacing="1" w:after="100" w:afterAutospacing="1"/>
      <w:jc w:val="left"/>
    </w:pPr>
    <w:rPr>
      <w:rFonts w:ascii="宋体" w:hAnsi="宋体"/>
      <w:kern w:val="0"/>
      <w:sz w:val="24"/>
      <w:szCs w:val="20"/>
    </w:rPr>
  </w:style>
  <w:style w:type="paragraph" w:styleId="31">
    <w:name w:val="Title"/>
    <w:basedOn w:val="1"/>
    <w:next w:val="1"/>
    <w:qFormat/>
    <w:locked/>
    <w:uiPriority w:val="10"/>
    <w:pPr>
      <w:adjustRightInd w:val="0"/>
      <w:snapToGrid w:val="0"/>
      <w:ind w:left="62"/>
      <w:jc w:val="center"/>
    </w:pPr>
    <w:rPr>
      <w:bCs/>
      <w:szCs w:val="21"/>
    </w:rPr>
  </w:style>
  <w:style w:type="paragraph" w:styleId="32">
    <w:name w:val="annotation subject"/>
    <w:basedOn w:val="19"/>
    <w:next w:val="19"/>
    <w:link w:val="54"/>
    <w:semiHidden/>
    <w:qFormat/>
    <w:uiPriority w:val="0"/>
    <w:rPr>
      <w:b/>
    </w:rPr>
  </w:style>
  <w:style w:type="table" w:styleId="34">
    <w:name w:val="Table Grid"/>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qFormat/>
    <w:locked/>
    <w:uiPriority w:val="22"/>
    <w:rPr>
      <w:b/>
      <w:bCs/>
    </w:rPr>
  </w:style>
  <w:style w:type="character" w:styleId="37">
    <w:name w:val="page number"/>
    <w:basedOn w:val="35"/>
    <w:qFormat/>
    <w:locked/>
    <w:uiPriority w:val="0"/>
  </w:style>
  <w:style w:type="character" w:styleId="38">
    <w:name w:val="Hyperlink"/>
    <w:basedOn w:val="35"/>
    <w:qFormat/>
    <w:locked/>
    <w:uiPriority w:val="0"/>
    <w:rPr>
      <w:color w:val="0000FF"/>
      <w:u w:val="single"/>
    </w:rPr>
  </w:style>
  <w:style w:type="character" w:styleId="39">
    <w:name w:val="annotation reference"/>
    <w:semiHidden/>
    <w:qFormat/>
    <w:uiPriority w:val="0"/>
    <w:rPr>
      <w:sz w:val="21"/>
    </w:rPr>
  </w:style>
  <w:style w:type="paragraph" w:customStyle="1" w:styleId="40">
    <w:name w:val="Default"/>
    <w:basedOn w:val="41"/>
    <w:qFormat/>
    <w:uiPriority w:val="0"/>
    <w:pPr>
      <w:autoSpaceDE w:val="0"/>
      <w:autoSpaceDN w:val="0"/>
    </w:pPr>
    <w:rPr>
      <w:rFonts w:hAnsi="Calibri" w:cs="宋体"/>
      <w:color w:val="000000"/>
      <w:sz w:val="24"/>
    </w:rPr>
  </w:style>
  <w:style w:type="paragraph" w:customStyle="1" w:styleId="41">
    <w:name w:val="纯文本1"/>
    <w:basedOn w:val="1"/>
    <w:next w:val="1"/>
    <w:qFormat/>
    <w:uiPriority w:val="0"/>
    <w:pPr>
      <w:adjustRightInd w:val="0"/>
    </w:pPr>
    <w:rPr>
      <w:rFonts w:ascii="宋体" w:hAnsi="Courier New"/>
    </w:rPr>
  </w:style>
  <w:style w:type="paragraph" w:customStyle="1" w:styleId="42">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43">
    <w:name w:val="正文文本 字符"/>
    <w:link w:val="18"/>
    <w:qFormat/>
    <w:locked/>
    <w:uiPriority w:val="0"/>
    <w:rPr>
      <w:sz w:val="18"/>
    </w:rPr>
  </w:style>
  <w:style w:type="paragraph" w:customStyle="1" w:styleId="44">
    <w:name w:val="样式35"/>
    <w:basedOn w:val="45"/>
    <w:next w:val="46"/>
    <w:qFormat/>
    <w:uiPriority w:val="0"/>
    <w:pPr>
      <w:tabs>
        <w:tab w:val="left" w:pos="360"/>
        <w:tab w:val="left" w:pos="567"/>
        <w:tab w:val="left" w:pos="900"/>
        <w:tab w:val="left" w:pos="960"/>
        <w:tab w:val="left" w:pos="1320"/>
        <w:tab w:val="left" w:pos="1500"/>
        <w:tab w:val="left" w:pos="4140"/>
        <w:tab w:val="left" w:pos="8715"/>
      </w:tabs>
      <w:spacing w:line="312" w:lineRule="auto"/>
      <w:ind w:firstLine="567"/>
      <w:jc w:val="both"/>
    </w:pPr>
    <w:rPr>
      <w:rFonts w:ascii="宋体"/>
      <w:szCs w:val="22"/>
    </w:rPr>
  </w:style>
  <w:style w:type="paragraph" w:customStyle="1" w:styleId="45">
    <w:name w:val="表 内容"/>
    <w:basedOn w:val="1"/>
    <w:qFormat/>
    <w:uiPriority w:val="0"/>
    <w:pPr>
      <w:adjustRightInd w:val="0"/>
      <w:snapToGrid w:val="0"/>
      <w:spacing w:beforeLines="10" w:afterLines="10"/>
      <w:jc w:val="center"/>
    </w:pPr>
    <w:rPr>
      <w:szCs w:val="21"/>
    </w:rPr>
  </w:style>
  <w:style w:type="paragraph" w:customStyle="1" w:styleId="46">
    <w:name w:val="font6"/>
    <w:basedOn w:val="1"/>
    <w:next w:val="29"/>
    <w:qFormat/>
    <w:uiPriority w:val="0"/>
    <w:pPr>
      <w:widowControl/>
      <w:spacing w:before="100" w:beforeAutospacing="1" w:after="100" w:afterAutospacing="1"/>
      <w:jc w:val="left"/>
    </w:pPr>
    <w:rPr>
      <w:rFonts w:hint="eastAsia" w:ascii="宋体" w:hAnsi="宋体" w:cs="Arial Unicode MS"/>
      <w:sz w:val="18"/>
      <w:szCs w:val="18"/>
    </w:rPr>
  </w:style>
  <w:style w:type="character" w:customStyle="1" w:styleId="47">
    <w:name w:val="批注文字 字符"/>
    <w:link w:val="19"/>
    <w:qFormat/>
    <w:locked/>
    <w:uiPriority w:val="0"/>
    <w:rPr>
      <w:rFonts w:ascii="Times New Roman" w:hAnsi="Times New Roman" w:eastAsia="宋体"/>
      <w:sz w:val="24"/>
    </w:rPr>
  </w:style>
  <w:style w:type="character" w:customStyle="1" w:styleId="48">
    <w:name w:val="正文文本缩进 字符"/>
    <w:link w:val="3"/>
    <w:semiHidden/>
    <w:qFormat/>
    <w:locked/>
    <w:uiPriority w:val="0"/>
    <w:rPr>
      <w:rFonts w:ascii="Times New Roman" w:hAnsi="Times New Roman" w:eastAsia="宋体"/>
      <w:sz w:val="24"/>
    </w:rPr>
  </w:style>
  <w:style w:type="character" w:customStyle="1" w:styleId="49">
    <w:name w:val="日期 字符1"/>
    <w:link w:val="24"/>
    <w:qFormat/>
    <w:locked/>
    <w:uiPriority w:val="0"/>
    <w:rPr>
      <w:rFonts w:ascii="Times New Roman" w:hAnsi="Times New Roman" w:eastAsia="宋体"/>
      <w:sz w:val="24"/>
    </w:rPr>
  </w:style>
  <w:style w:type="character" w:customStyle="1" w:styleId="50">
    <w:name w:val="批注框文本 字符"/>
    <w:link w:val="25"/>
    <w:semiHidden/>
    <w:qFormat/>
    <w:locked/>
    <w:uiPriority w:val="0"/>
    <w:rPr>
      <w:rFonts w:ascii="Times New Roman" w:hAnsi="Times New Roman" w:eastAsia="宋体"/>
      <w:sz w:val="18"/>
    </w:rPr>
  </w:style>
  <w:style w:type="character" w:customStyle="1" w:styleId="51">
    <w:name w:val="页脚 字符1"/>
    <w:link w:val="26"/>
    <w:qFormat/>
    <w:locked/>
    <w:uiPriority w:val="99"/>
    <w:rPr>
      <w:sz w:val="18"/>
    </w:rPr>
  </w:style>
  <w:style w:type="character" w:customStyle="1" w:styleId="52">
    <w:name w:val="页眉 字符"/>
    <w:link w:val="27"/>
    <w:qFormat/>
    <w:locked/>
    <w:uiPriority w:val="0"/>
    <w:rPr>
      <w:sz w:val="18"/>
    </w:rPr>
  </w:style>
  <w:style w:type="character" w:customStyle="1" w:styleId="53">
    <w:name w:val="普通(网站) 字符"/>
    <w:link w:val="30"/>
    <w:qFormat/>
    <w:locked/>
    <w:uiPriority w:val="0"/>
    <w:rPr>
      <w:rFonts w:ascii="宋体" w:hAnsi="宋体" w:eastAsia="宋体"/>
      <w:sz w:val="24"/>
    </w:rPr>
  </w:style>
  <w:style w:type="character" w:customStyle="1" w:styleId="54">
    <w:name w:val="批注主题 字符"/>
    <w:link w:val="32"/>
    <w:semiHidden/>
    <w:qFormat/>
    <w:locked/>
    <w:uiPriority w:val="0"/>
    <w:rPr>
      <w:rFonts w:ascii="Times New Roman" w:hAnsi="Times New Roman" w:eastAsia="宋体"/>
      <w:b/>
      <w:kern w:val="2"/>
      <w:sz w:val="24"/>
    </w:rPr>
  </w:style>
  <w:style w:type="character" w:customStyle="1" w:styleId="55">
    <w:name w:val="页脚 字符"/>
    <w:basedOn w:val="35"/>
    <w:qFormat/>
    <w:uiPriority w:val="99"/>
  </w:style>
  <w:style w:type="character" w:customStyle="1" w:styleId="56">
    <w:name w:val="正文文本 字符1"/>
    <w:semiHidden/>
    <w:qFormat/>
    <w:uiPriority w:val="0"/>
    <w:rPr>
      <w:rFonts w:ascii="Times New Roman" w:hAnsi="Times New Roman" w:eastAsia="宋体"/>
      <w:sz w:val="24"/>
    </w:rPr>
  </w:style>
  <w:style w:type="character" w:customStyle="1" w:styleId="57">
    <w:name w:val="表格 Char"/>
    <w:link w:val="58"/>
    <w:qFormat/>
    <w:locked/>
    <w:uiPriority w:val="0"/>
    <w:rPr>
      <w:rFonts w:ascii="宋体"/>
      <w:sz w:val="21"/>
    </w:rPr>
  </w:style>
  <w:style w:type="paragraph" w:customStyle="1" w:styleId="58">
    <w:name w:val="表格"/>
    <w:basedOn w:val="1"/>
    <w:next w:val="1"/>
    <w:link w:val="57"/>
    <w:qFormat/>
    <w:uiPriority w:val="0"/>
    <w:pPr>
      <w:adjustRightInd w:val="0"/>
      <w:snapToGrid w:val="0"/>
      <w:spacing w:beforeLines="10" w:afterLines="10" w:line="259" w:lineRule="auto"/>
      <w:jc w:val="center"/>
    </w:pPr>
    <w:rPr>
      <w:rFonts w:ascii="宋体"/>
      <w:kern w:val="0"/>
      <w:szCs w:val="20"/>
    </w:rPr>
  </w:style>
  <w:style w:type="character" w:customStyle="1" w:styleId="59">
    <w:name w:val="日期 字符"/>
    <w:semiHidden/>
    <w:qFormat/>
    <w:uiPriority w:val="0"/>
    <w:rPr>
      <w:rFonts w:ascii="Times New Roman" w:hAnsi="Times New Roman" w:eastAsia="宋体"/>
      <w:sz w:val="24"/>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3">
    <w:name w:val="A正文1"/>
    <w:basedOn w:val="1"/>
    <w:qFormat/>
    <w:uiPriority w:val="0"/>
    <w:pPr>
      <w:spacing w:line="360" w:lineRule="auto"/>
      <w:ind w:firstLine="480" w:firstLineChars="200"/>
    </w:pPr>
    <w:rPr>
      <w:rFonts w:ascii="Calibri" w:hAnsi="Calibri"/>
      <w:sz w:val="24"/>
      <w:szCs w:val="28"/>
    </w:rPr>
  </w:style>
  <w:style w:type="paragraph" w:customStyle="1" w:styleId="64">
    <w:name w:val="B表头"/>
    <w:basedOn w:val="1"/>
    <w:qFormat/>
    <w:uiPriority w:val="0"/>
    <w:pPr>
      <w:spacing w:beforeLines="25" w:afterLines="25"/>
      <w:jc w:val="center"/>
    </w:pPr>
    <w:rPr>
      <w:rFonts w:ascii="Calibri" w:hAnsi="Calibri"/>
      <w:b/>
      <w:bCs/>
      <w:color w:val="000000"/>
      <w:sz w:val="24"/>
      <w:szCs w:val="28"/>
      <w:lang w:bidi="en-US"/>
    </w:rPr>
  </w:style>
  <w:style w:type="paragraph" w:customStyle="1" w:styleId="65">
    <w:name w:val="样式 样式 正文首行缩进 + 首行缩进:  2 字符 + 首行缩进:  2 字符"/>
    <w:basedOn w:val="1"/>
    <w:qFormat/>
    <w:uiPriority w:val="0"/>
    <w:pPr>
      <w:topLinePunct/>
      <w:adjustRightInd w:val="0"/>
      <w:snapToGrid w:val="0"/>
      <w:spacing w:line="360" w:lineRule="auto"/>
      <w:ind w:firstLine="480"/>
      <w:textAlignment w:val="baseline"/>
    </w:pPr>
    <w:rPr>
      <w:rFonts w:hAnsi="宋体" w:eastAsia="Times New Roman"/>
      <w:kern w:val="0"/>
      <w:sz w:val="24"/>
      <w:szCs w:val="20"/>
    </w:rPr>
  </w:style>
  <w:style w:type="paragraph" w:customStyle="1" w:styleId="66">
    <w:name w:val="0正文"/>
    <w:basedOn w:val="3"/>
    <w:unhideWhenUsed/>
    <w:qFormat/>
    <w:uiPriority w:val="0"/>
    <w:pPr>
      <w:spacing w:line="360" w:lineRule="auto"/>
      <w:ind w:firstLine="720" w:firstLineChars="200"/>
    </w:pPr>
    <w:rPr>
      <w:rFonts w:ascii="Calibri" w:hAnsi="Calibri"/>
      <w:szCs w:val="22"/>
    </w:rPr>
  </w:style>
  <w:style w:type="paragraph" w:customStyle="1" w:styleId="67">
    <w:name w:val="标题3"/>
    <w:basedOn w:val="1"/>
    <w:qFormat/>
    <w:uiPriority w:val="0"/>
    <w:pPr>
      <w:outlineLvl w:val="2"/>
    </w:pPr>
    <w:rPr>
      <w:b/>
      <w:sz w:val="28"/>
    </w:rPr>
  </w:style>
  <w:style w:type="paragraph" w:customStyle="1" w:styleId="68">
    <w:name w:val="ENFI表体"/>
    <w:basedOn w:val="1"/>
    <w:qFormat/>
    <w:uiPriority w:val="0"/>
    <w:pPr>
      <w:widowControl/>
      <w:spacing w:line="240" w:lineRule="atLeast"/>
      <w:jc w:val="center"/>
    </w:pPr>
    <w:rPr>
      <w:rFonts w:eastAsia="仿宋_GB2312"/>
      <w:kern w:val="0"/>
    </w:rPr>
  </w:style>
  <w:style w:type="paragraph" w:customStyle="1" w:styleId="69">
    <w:name w:val="ENFI正文"/>
    <w:basedOn w:val="1"/>
    <w:link w:val="70"/>
    <w:qFormat/>
    <w:uiPriority w:val="99"/>
    <w:pPr>
      <w:tabs>
        <w:tab w:val="left" w:pos="1021"/>
      </w:tabs>
      <w:adjustRightInd w:val="0"/>
      <w:snapToGrid w:val="0"/>
      <w:spacing w:line="500" w:lineRule="exact"/>
      <w:ind w:firstLine="567"/>
    </w:pPr>
    <w:rPr>
      <w:rFonts w:ascii="Calibri" w:eastAsia="仿宋_GB2312"/>
      <w:snapToGrid w:val="0"/>
      <w:color w:val="000000"/>
      <w:sz w:val="28"/>
      <w:szCs w:val="28"/>
    </w:rPr>
  </w:style>
  <w:style w:type="character" w:customStyle="1" w:styleId="70">
    <w:name w:val="ENFI正文 Char Char"/>
    <w:link w:val="69"/>
    <w:qFormat/>
    <w:locked/>
    <w:uiPriority w:val="99"/>
    <w:rPr>
      <w:rFonts w:ascii="Calibri" w:eastAsia="仿宋_GB2312"/>
      <w:snapToGrid w:val="0"/>
      <w:color w:val="000000"/>
      <w:sz w:val="28"/>
      <w:szCs w:val="28"/>
    </w:rPr>
  </w:style>
  <w:style w:type="paragraph" w:customStyle="1" w:styleId="71">
    <w:name w:val="本次正文"/>
    <w:basedOn w:val="1"/>
    <w:qFormat/>
    <w:uiPriority w:val="0"/>
    <w:pPr>
      <w:adjustRightInd w:val="0"/>
      <w:snapToGrid w:val="0"/>
      <w:spacing w:line="360" w:lineRule="auto"/>
      <w:ind w:firstLine="480" w:firstLineChars="200"/>
    </w:pPr>
    <w:rPr>
      <w:kern w:val="0"/>
      <w:sz w:val="24"/>
      <w:szCs w:val="20"/>
    </w:rPr>
  </w:style>
  <w:style w:type="paragraph" w:customStyle="1" w:styleId="72">
    <w:name w:val="正文 首行缩进"/>
    <w:basedOn w:val="1"/>
    <w:qFormat/>
    <w:uiPriority w:val="0"/>
    <w:pPr>
      <w:spacing w:line="360" w:lineRule="auto"/>
      <w:ind w:firstLine="200" w:firstLineChars="200"/>
    </w:pPr>
    <w:rPr>
      <w:rFonts w:cs="宋体"/>
      <w:kern w:val="0"/>
      <w:szCs w:val="20"/>
    </w:rPr>
  </w:style>
  <w:style w:type="paragraph" w:customStyle="1" w:styleId="73">
    <w:name w:val="表头"/>
    <w:basedOn w:val="74"/>
    <w:qFormat/>
    <w:uiPriority w:val="0"/>
    <w:pPr>
      <w:spacing w:line="360" w:lineRule="auto"/>
    </w:pPr>
    <w:rPr>
      <w:b/>
    </w:rPr>
  </w:style>
  <w:style w:type="paragraph" w:customStyle="1" w:styleId="74">
    <w:name w:val="表中文字"/>
    <w:basedOn w:val="1"/>
    <w:qFormat/>
    <w:uiPriority w:val="0"/>
    <w:pPr>
      <w:adjustRightInd w:val="0"/>
      <w:snapToGrid w:val="0"/>
      <w:jc w:val="center"/>
    </w:pPr>
    <w:rPr>
      <w:bCs/>
      <w:sz w:val="18"/>
    </w:rPr>
  </w:style>
  <w:style w:type="paragraph" w:customStyle="1" w:styleId="75">
    <w:name w:val="标准正文"/>
    <w:basedOn w:val="1"/>
    <w:qFormat/>
    <w:uiPriority w:val="0"/>
    <w:pPr>
      <w:spacing w:line="360" w:lineRule="auto"/>
      <w:ind w:firstLine="480" w:firstLineChars="200"/>
    </w:pPr>
    <w:rPr>
      <w:sz w:val="24"/>
    </w:rPr>
  </w:style>
  <w:style w:type="paragraph" w:customStyle="1" w:styleId="76">
    <w:name w:val="永环图标标题格式"/>
    <w:basedOn w:val="1"/>
    <w:qFormat/>
    <w:uiPriority w:val="0"/>
    <w:pPr>
      <w:spacing w:beforeLines="20" w:afterLines="20" w:line="560" w:lineRule="exact"/>
      <w:jc w:val="center"/>
    </w:pPr>
    <w:rPr>
      <w:rFonts w:eastAsia="黑体"/>
      <w:bCs/>
      <w:sz w:val="24"/>
    </w:rPr>
  </w:style>
  <w:style w:type="paragraph" w:customStyle="1" w:styleId="77">
    <w:name w:val="S表名图名"/>
    <w:basedOn w:val="78"/>
    <w:qFormat/>
    <w:uiPriority w:val="1"/>
    <w:pPr>
      <w:jc w:val="center"/>
    </w:pPr>
    <w:rPr>
      <w:b/>
      <w:szCs w:val="23"/>
    </w:rPr>
  </w:style>
  <w:style w:type="paragraph" w:customStyle="1" w:styleId="78">
    <w:name w:val="S报告正文"/>
    <w:basedOn w:val="1"/>
    <w:qFormat/>
    <w:uiPriority w:val="0"/>
    <w:pPr>
      <w:adjustRightInd w:val="0"/>
      <w:snapToGrid w:val="0"/>
      <w:spacing w:line="480" w:lineRule="exact"/>
      <w:ind w:firstLine="510"/>
      <w:jc w:val="left"/>
    </w:pPr>
    <w:rPr>
      <w:sz w:val="24"/>
    </w:rPr>
  </w:style>
  <w:style w:type="paragraph" w:customStyle="1" w:styleId="79">
    <w:name w:val="7表格文字"/>
    <w:basedOn w:val="1"/>
    <w:qFormat/>
    <w:uiPriority w:val="0"/>
    <w:pPr>
      <w:jc w:val="center"/>
    </w:pPr>
  </w:style>
  <w:style w:type="table" w:customStyle="1" w:styleId="80">
    <w:name w:val="Table Normal"/>
    <w:semiHidden/>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81">
    <w:name w:val="正文首行缩进1"/>
    <w:basedOn w:val="18"/>
    <w:unhideWhenUsed/>
    <w:qFormat/>
    <w:uiPriority w:val="99"/>
    <w:pPr>
      <w:widowControl w:val="0"/>
      <w:snapToGrid/>
      <w:spacing w:before="0" w:after="0" w:line="360" w:lineRule="auto"/>
      <w:ind w:right="0" w:firstLine="200" w:firstLineChars="200"/>
    </w:pPr>
    <w:rPr>
      <w:rFonts w:ascii="Calibri" w:hAnsi="Calibri"/>
      <w:kern w:val="2"/>
      <w:sz w:val="24"/>
      <w:szCs w:val="24"/>
    </w:rPr>
  </w:style>
  <w:style w:type="paragraph" w:customStyle="1" w:styleId="82">
    <w:name w:val="Table Paragraph"/>
    <w:basedOn w:val="1"/>
    <w:qFormat/>
    <w:uiPriority w:val="1"/>
    <w:pPr>
      <w:jc w:val="left"/>
    </w:pPr>
    <w:rPr>
      <w:rFonts w:ascii="Calibri" w:hAnsi="Calibri"/>
      <w:kern w:val="0"/>
      <w:sz w:val="22"/>
      <w:szCs w:val="22"/>
      <w:lang w:eastAsia="en-US"/>
    </w:rPr>
  </w:style>
  <w:style w:type="paragraph" w:customStyle="1" w:styleId="83">
    <w:name w:val="报告书正文"/>
    <w:basedOn w:val="1"/>
    <w:qFormat/>
    <w:uiPriority w:val="0"/>
    <w:pPr>
      <w:adjustRightInd w:val="0"/>
      <w:snapToGrid w:val="0"/>
      <w:spacing w:line="360" w:lineRule="auto"/>
      <w:ind w:firstLine="425"/>
      <w:textAlignment w:val="baseline"/>
    </w:pPr>
    <w:rPr>
      <w:rFonts w:ascii="Arial" w:hAnsi="Arial"/>
      <w:kern w:val="0"/>
      <w:sz w:val="24"/>
    </w:rPr>
  </w:style>
  <w:style w:type="paragraph" w:customStyle="1" w:styleId="84">
    <w:name w:val="段落"/>
    <w:basedOn w:val="1"/>
    <w:qFormat/>
    <w:uiPriority w:val="0"/>
    <w:pPr>
      <w:tabs>
        <w:tab w:val="left" w:pos="1021"/>
      </w:tabs>
      <w:adjustRightInd w:val="0"/>
      <w:snapToGrid w:val="0"/>
      <w:spacing w:line="360" w:lineRule="auto"/>
      <w:ind w:firstLine="504" w:firstLineChars="200"/>
    </w:pPr>
    <w:rPr>
      <w:rFonts w:ascii="Calibri"/>
      <w:spacing w:val="6"/>
    </w:rPr>
  </w:style>
  <w:style w:type="paragraph" w:customStyle="1" w:styleId="85">
    <w:name w:val="表格 32"/>
    <w:basedOn w:val="1"/>
    <w:qFormat/>
    <w:uiPriority w:val="0"/>
    <w:pPr>
      <w:autoSpaceDE w:val="0"/>
      <w:autoSpaceDN w:val="0"/>
      <w:adjustRightInd w:val="0"/>
      <w:jc w:val="center"/>
      <w:textAlignment w:val="baseline"/>
    </w:pPr>
    <w:rPr>
      <w:rFonts w:ascii="宋体" w:hAnsi="Impact"/>
      <w:kern w:val="24"/>
      <w:sz w:val="24"/>
      <w:szCs w:val="20"/>
    </w:rPr>
  </w:style>
  <w:style w:type="paragraph" w:customStyle="1" w:styleId="86">
    <w:name w:val="表格内容"/>
    <w:basedOn w:val="1"/>
    <w:qFormat/>
    <w:uiPriority w:val="0"/>
    <w:pPr>
      <w:jc w:val="center"/>
    </w:pPr>
    <w:rPr>
      <w:rFonts w:cs="宋体"/>
      <w:szCs w:val="20"/>
    </w:rPr>
  </w:style>
  <w:style w:type="character" w:customStyle="1" w:styleId="87">
    <w:name w:val="font21"/>
    <w:basedOn w:val="35"/>
    <w:qFormat/>
    <w:uiPriority w:val="0"/>
    <w:rPr>
      <w:rFonts w:hint="eastAsia" w:ascii="宋体" w:hAnsi="宋体" w:eastAsia="宋体" w:cs="宋体"/>
      <w:color w:val="000000"/>
      <w:sz w:val="21"/>
      <w:szCs w:val="21"/>
      <w:u w:val="none"/>
    </w:rPr>
  </w:style>
  <w:style w:type="character" w:customStyle="1" w:styleId="88">
    <w:name w:val="font31"/>
    <w:basedOn w:val="35"/>
    <w:qFormat/>
    <w:uiPriority w:val="0"/>
    <w:rPr>
      <w:rFonts w:hint="default" w:ascii="Times New Roman" w:hAnsi="Times New Roman" w:cs="Times New Roman"/>
      <w:color w:val="000000"/>
      <w:sz w:val="21"/>
      <w:szCs w:val="21"/>
      <w:u w:val="none"/>
    </w:rPr>
  </w:style>
  <w:style w:type="character" w:customStyle="1" w:styleId="89">
    <w:name w:val="font81"/>
    <w:basedOn w:val="35"/>
    <w:qFormat/>
    <w:uiPriority w:val="0"/>
    <w:rPr>
      <w:rFonts w:hint="default" w:ascii="Times New Roman" w:hAnsi="Times New Roman" w:cs="Times New Roman"/>
      <w:color w:val="000000"/>
      <w:sz w:val="21"/>
      <w:szCs w:val="21"/>
      <w:u w:val="none"/>
    </w:rPr>
  </w:style>
  <w:style w:type="character" w:customStyle="1" w:styleId="90">
    <w:name w:val="font51"/>
    <w:basedOn w:val="35"/>
    <w:qFormat/>
    <w:uiPriority w:val="0"/>
    <w:rPr>
      <w:rFonts w:hint="eastAsia" w:ascii="宋体" w:hAnsi="宋体" w:eastAsia="宋体" w:cs="宋体"/>
      <w:color w:val="000000"/>
      <w:sz w:val="21"/>
      <w:szCs w:val="21"/>
      <w:u w:val="none"/>
    </w:rPr>
  </w:style>
  <w:style w:type="paragraph" w:styleId="91">
    <w:name w:val="List Paragraph"/>
    <w:basedOn w:val="1"/>
    <w:qFormat/>
    <w:uiPriority w:val="99"/>
    <w:pPr>
      <w:ind w:firstLine="420" w:firstLineChars="200"/>
    </w:pPr>
  </w:style>
  <w:style w:type="paragraph" w:customStyle="1" w:styleId="92">
    <w:name w:val="正文_3"/>
    <w:qFormat/>
    <w:uiPriority w:val="0"/>
    <w:pPr>
      <w:widowControl w:val="0"/>
      <w:jc w:val="both"/>
    </w:pPr>
    <w:rPr>
      <w:rFonts w:ascii="Calibri" w:hAnsi="Calibri" w:eastAsia="宋体" w:cs="Times New Roman"/>
      <w:kern w:val="2"/>
      <w:sz w:val="21"/>
      <w:lang w:val="en-US" w:eastAsia="zh-CN" w:bidi="ar-SA"/>
    </w:rPr>
  </w:style>
  <w:style w:type="paragraph" w:customStyle="1" w:styleId="93">
    <w:name w:val="！正文 Alt+0"/>
    <w:basedOn w:val="1"/>
    <w:qFormat/>
    <w:uiPriority w:val="0"/>
    <w:pPr>
      <w:tabs>
        <w:tab w:val="left" w:pos="1021"/>
      </w:tabs>
      <w:ind w:firstLine="200"/>
    </w:pPr>
    <w:rPr>
      <w:sz w:val="28"/>
      <w:szCs w:val="28"/>
    </w:rPr>
  </w:style>
  <w:style w:type="paragraph" w:customStyle="1" w:styleId="94">
    <w:name w:val="sheet"/>
    <w:basedOn w:val="1"/>
    <w:qFormat/>
    <w:uiPriority w:val="0"/>
    <w:pPr>
      <w:suppressAutoHyphens/>
      <w:topLinePunct/>
      <w:jc w:val="center"/>
    </w:pPr>
    <w:rPr>
      <w:kern w:val="0"/>
    </w:rPr>
  </w:style>
  <w:style w:type="paragraph" w:customStyle="1" w:styleId="95">
    <w:name w:val="表格文字"/>
    <w:basedOn w:val="17"/>
    <w:next w:val="1"/>
    <w:autoRedefine/>
    <w:qFormat/>
    <w:uiPriority w:val="0"/>
    <w:pPr>
      <w:snapToGrid w:val="0"/>
      <w:spacing w:line="240" w:lineRule="auto"/>
      <w:ind w:firstLine="0"/>
      <w:jc w:val="center"/>
    </w:pPr>
    <w:rPr>
      <w:rFonts w:cstheme="minorBidi"/>
      <w:kern w:val="2"/>
      <w:szCs w:val="21"/>
    </w:rPr>
  </w:style>
  <w:style w:type="paragraph" w:customStyle="1" w:styleId="96">
    <w:name w:val="正文文本首行缩进1"/>
    <w:basedOn w:val="18"/>
    <w:autoRedefine/>
    <w:unhideWhenUsed/>
    <w:qFormat/>
    <w:uiPriority w:val="99"/>
    <w:pPr>
      <w:spacing w:line="500" w:lineRule="exact"/>
      <w:ind w:firstLine="420" w:firstLineChars="100"/>
    </w:pPr>
    <w:rPr>
      <w:sz w:val="25"/>
    </w:rPr>
  </w:style>
  <w:style w:type="paragraph" w:customStyle="1" w:styleId="97">
    <w:name w:val="表格标题"/>
    <w:basedOn w:val="1"/>
    <w:next w:val="58"/>
    <w:link w:val="98"/>
    <w:autoRedefine/>
    <w:qFormat/>
    <w:uiPriority w:val="0"/>
    <w:pPr>
      <w:jc w:val="center"/>
    </w:pPr>
    <w:rPr>
      <w:b/>
    </w:rPr>
  </w:style>
  <w:style w:type="character" w:customStyle="1" w:styleId="98">
    <w:name w:val="表格标题 Char"/>
    <w:link w:val="97"/>
    <w:autoRedefine/>
    <w:qFormat/>
    <w:uiPriority w:val="0"/>
    <w:rPr>
      <w:b/>
      <w:lang w:val="en-US"/>
    </w:rPr>
  </w:style>
  <w:style w:type="table" w:customStyle="1" w:styleId="99">
    <w:name w:val="网格型3"/>
    <w:basedOn w:val="3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0">
    <w:name w:val="图表头"/>
    <w:basedOn w:val="58"/>
    <w:next w:val="58"/>
    <w:autoRedefine/>
    <w:qFormat/>
    <w:uiPriority w:val="0"/>
    <w:pPr>
      <w:keepNext/>
    </w:pPr>
    <w:rPr>
      <w:b/>
      <w:bCs/>
      <w:snapToGrid w:val="0"/>
      <w:color w:val="000000"/>
      <w:kern w:val="21"/>
      <w:szCs w:val="21"/>
    </w:rPr>
  </w:style>
  <w:style w:type="paragraph" w:customStyle="1" w:styleId="101">
    <w:name w:val="正文小标题"/>
    <w:basedOn w:val="1"/>
    <w:next w:val="1"/>
    <w:qFormat/>
    <w:uiPriority w:val="0"/>
    <w:pPr>
      <w:jc w:val="center"/>
    </w:pPr>
    <w:rPr>
      <w:b/>
      <w:kern w:val="0"/>
      <w:szCs w:val="18"/>
    </w:rPr>
  </w:style>
  <w:style w:type="paragraph" w:customStyle="1" w:styleId="102">
    <w:name w:val="正文古"/>
    <w:basedOn w:val="1"/>
    <w:qFormat/>
    <w:uiPriority w:val="0"/>
    <w:pPr>
      <w:snapToGrid w:val="0"/>
      <w:spacing w:line="480" w:lineRule="exact"/>
      <w:ind w:firstLine="200" w:firstLineChars="200"/>
    </w:pPr>
    <w:rPr>
      <w:kern w:val="0"/>
      <w:sz w:val="24"/>
    </w:rPr>
  </w:style>
  <w:style w:type="paragraph" w:customStyle="1" w:styleId="103">
    <w:name w:val="Table Text"/>
    <w:basedOn w:val="1"/>
    <w:semiHidden/>
    <w:qFormat/>
    <w:uiPriority w:val="0"/>
    <w:rPr>
      <w:rFonts w:eastAsia="Times New Roman"/>
      <w:sz w:val="20"/>
      <w:szCs w:val="20"/>
      <w:lang w:eastAsia="en-US"/>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8" Type="http://schemas.openxmlformats.org/officeDocument/2006/relationships/fontTable" Target="fontTable.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jpeg"/><Relationship Id="rId80" Type="http://schemas.openxmlformats.org/officeDocument/2006/relationships/image" Target="media/image64.jpeg"/><Relationship Id="rId8" Type="http://schemas.openxmlformats.org/officeDocument/2006/relationships/footer" Target="footer6.xml"/><Relationship Id="rId79" Type="http://schemas.openxmlformats.org/officeDocument/2006/relationships/image" Target="media/image63.jpe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5.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jpeg"/><Relationship Id="rId3" Type="http://schemas.openxmlformats.org/officeDocument/2006/relationships/footer" Target="foot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emf"/><Relationship Id="rId26" Type="http://schemas.openxmlformats.org/officeDocument/2006/relationships/oleObject" Target="embeddings/oleObject7.bin"/><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emf"/><Relationship Id="rId21" Type="http://schemas.openxmlformats.org/officeDocument/2006/relationships/oleObject" Target="embeddings/oleObject6.bin"/><Relationship Id="rId20" Type="http://schemas.openxmlformats.org/officeDocument/2006/relationships/image" Target="media/image6.e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5.emf"/><Relationship Id="rId17" Type="http://schemas.openxmlformats.org/officeDocument/2006/relationships/oleObject" Target="embeddings/oleObject4.bin"/><Relationship Id="rId16" Type="http://schemas.openxmlformats.org/officeDocument/2006/relationships/image" Target="media/image4.emf"/><Relationship Id="rId15" Type="http://schemas.openxmlformats.org/officeDocument/2006/relationships/oleObject" Target="embeddings/oleObject3.bin"/><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152</Pages>
  <Words>7393</Words>
  <Characters>7764</Characters>
  <Lines>618</Lines>
  <Paragraphs>174</Paragraphs>
  <TotalTime>20</TotalTime>
  <ScaleCrop>false</ScaleCrop>
  <LinksUpToDate>false</LinksUpToDate>
  <CharactersWithSpaces>7868</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2025-04-10T08:13:00Z</dcterms:created>
  <dc:creator>lhj</dc:creator>
  <cp:lastModifiedBy>一缕风。。</cp:lastModifiedBy>
  <cp:lastPrinted>2020-12-29T02:43:00Z</cp:lastPrinted>
  <dcterms:modified xsi:type="dcterms:W3CDTF">2025-04-11T02:13:11Z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F2F423DBD15C4983832BACE1C6A66AB8_13</vt:lpwstr>
  </property>
  <property fmtid="{D5CDD505-2E9C-101B-9397-08002B2CF9AE}" pid="4" name="KSOTemplateDocerSaveRecord">
    <vt:lpwstr>eyJoZGlkIjoiZDA3MWI4MjQzYTBkMTdkYWQwMGI2YTc3ODA4NjRmNjkiLCJ1c2VySWQiOiIzNDg3MTYxNzAifQ==</vt:lpwstr>
  </property>
</Properties>
</file>