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5CA4B">
      <w:pPr>
        <w:jc w:val="right"/>
        <w:rPr>
          <w:rFonts w:hint="eastAsia" w:ascii="仿宋" w:hAnsi="仿宋" w:eastAsia="仿宋" w:cs="仿宋"/>
          <w:sz w:val="32"/>
          <w:szCs w:val="32"/>
        </w:rPr>
      </w:pPr>
    </w:p>
    <w:p w14:paraId="0EF1CD8A">
      <w:pPr>
        <w:jc w:val="right"/>
        <w:rPr>
          <w:rFonts w:hint="eastAsia" w:ascii="黑体" w:hAnsi="黑体" w:eastAsia="黑体" w:cs="黑体"/>
          <w:sz w:val="36"/>
          <w:szCs w:val="36"/>
          <w:lang w:val="en-US" w:eastAsia="zh-CN"/>
        </w:rPr>
      </w:pPr>
      <w:bookmarkStart w:id="0" w:name="_GoBack"/>
      <w:bookmarkEnd w:id="0"/>
      <w:r>
        <w:rPr>
          <w:rFonts w:hint="eastAsia" w:ascii="仿宋" w:hAnsi="仿宋" w:eastAsia="仿宋" w:cs="仿宋"/>
          <w:sz w:val="32"/>
          <w:szCs w:val="32"/>
        </w:rPr>
        <w:t>东环评【202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号</w:t>
      </w:r>
    </w:p>
    <w:p w14:paraId="32D819F1">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关于《湖南蓬源鸿达矿业有限公司穰家垅萤石矿30万吨/年采选扩建工程环境影响报告书》的批复</w:t>
      </w:r>
    </w:p>
    <w:p w14:paraId="5AB2497F">
      <w:pPr>
        <w:rPr>
          <w:rFonts w:hint="eastAsia" w:ascii="黑体" w:hAnsi="黑体" w:eastAsia="黑体" w:cs="黑体"/>
          <w:sz w:val="36"/>
          <w:szCs w:val="36"/>
          <w:lang w:val="en-US" w:eastAsia="zh-CN"/>
        </w:rPr>
      </w:pPr>
    </w:p>
    <w:p w14:paraId="5E0F6CA8">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湖南蓬源鸿达矿业有限公司：</w:t>
      </w:r>
    </w:p>
    <w:p w14:paraId="65524142">
      <w:pPr>
        <w:pStyle w:val="4"/>
        <w:keepNext w:val="0"/>
        <w:keepLines w:val="0"/>
        <w:pageBreakBefore w:val="0"/>
        <w:widowControl w:val="0"/>
        <w:kinsoku/>
        <w:wordWrap/>
        <w:overflowPunct/>
        <w:topLinePunct w:val="0"/>
        <w:autoSpaceDE/>
        <w:autoSpaceDN/>
        <w:bidi w:val="0"/>
        <w:adjustRightInd/>
        <w:snapToGrid w:val="0"/>
        <w:spacing w:line="640" w:lineRule="exact"/>
        <w:ind w:firstLine="480"/>
        <w:textAlignment w:val="auto"/>
        <w:rPr>
          <w:rFonts w:hint="eastAsia" w:ascii="仿宋" w:hAnsi="仿宋" w:eastAsia="仿宋" w:cs="仿宋"/>
          <w:sz w:val="32"/>
          <w:szCs w:val="32"/>
          <w:u w:val="none" w:color="auto"/>
        </w:rPr>
      </w:pPr>
      <w:r>
        <w:rPr>
          <w:rFonts w:hint="eastAsia" w:ascii="仿宋" w:hAnsi="仿宋" w:eastAsia="仿宋" w:cs="仿宋"/>
          <w:sz w:val="32"/>
          <w:szCs w:val="32"/>
          <w:lang w:val="en-US" w:eastAsia="zh-CN"/>
        </w:rPr>
        <w:t>你公司提交的《湖南蓬源鸿达矿业有限公司穰家垅萤石矿30万吨/年采选扩建工程环境影响报告书》（报批稿）</w:t>
      </w:r>
      <w:r>
        <w:rPr>
          <w:rFonts w:hint="eastAsia" w:ascii="仿宋" w:hAnsi="仿宋" w:eastAsia="仿宋" w:cs="仿宋"/>
          <w:sz w:val="32"/>
          <w:szCs w:val="32"/>
          <w:u w:val="none" w:color="auto"/>
        </w:rPr>
        <w:t>及相关附件已收悉</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根据</w:t>
      </w:r>
      <w:r>
        <w:rPr>
          <w:rFonts w:hint="eastAsia" w:ascii="仿宋" w:hAnsi="仿宋" w:eastAsia="仿宋" w:cs="仿宋"/>
          <w:sz w:val="32"/>
          <w:szCs w:val="32"/>
          <w:u w:val="none" w:color="auto"/>
          <w:lang w:eastAsia="zh-CN"/>
        </w:rPr>
        <w:t>湖南润之源环保科技有限责任公司</w:t>
      </w:r>
      <w:r>
        <w:rPr>
          <w:rFonts w:hint="eastAsia" w:ascii="仿宋" w:hAnsi="仿宋" w:eastAsia="仿宋" w:cs="仿宋"/>
          <w:sz w:val="32"/>
          <w:szCs w:val="32"/>
          <w:u w:val="none" w:color="auto"/>
        </w:rPr>
        <w:t>编制的环境影响报告</w:t>
      </w:r>
      <w:r>
        <w:rPr>
          <w:rFonts w:hint="eastAsia" w:ascii="仿宋" w:hAnsi="仿宋" w:eastAsia="仿宋" w:cs="仿宋"/>
          <w:sz w:val="32"/>
          <w:szCs w:val="32"/>
          <w:u w:val="none" w:color="auto"/>
          <w:lang w:val="en-US" w:eastAsia="zh-CN"/>
        </w:rPr>
        <w:t>书</w:t>
      </w:r>
      <w:r>
        <w:rPr>
          <w:rFonts w:hint="eastAsia" w:ascii="仿宋" w:hAnsi="仿宋" w:eastAsia="仿宋" w:cs="仿宋"/>
          <w:sz w:val="32"/>
          <w:szCs w:val="32"/>
          <w:u w:val="none" w:color="auto"/>
        </w:rPr>
        <w:t>结论</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相关</w:t>
      </w:r>
      <w:r>
        <w:rPr>
          <w:rFonts w:hint="eastAsia" w:ascii="仿宋" w:hAnsi="仿宋" w:eastAsia="仿宋" w:cs="仿宋"/>
          <w:sz w:val="32"/>
          <w:szCs w:val="32"/>
          <w:u w:val="none" w:color="auto"/>
          <w:lang w:eastAsia="zh-CN"/>
        </w:rPr>
        <w:t>附</w:t>
      </w:r>
      <w:r>
        <w:rPr>
          <w:rFonts w:hint="eastAsia" w:ascii="仿宋" w:hAnsi="仿宋" w:eastAsia="仿宋" w:cs="仿宋"/>
          <w:sz w:val="32"/>
          <w:szCs w:val="32"/>
          <w:u w:val="none" w:color="auto"/>
        </w:rPr>
        <w:t>件及专家意见，</w:t>
      </w:r>
      <w:r>
        <w:rPr>
          <w:rFonts w:hint="eastAsia" w:ascii="仿宋" w:hAnsi="仿宋" w:eastAsia="仿宋" w:cs="仿宋"/>
          <w:sz w:val="32"/>
          <w:szCs w:val="32"/>
          <w:u w:val="none" w:color="auto"/>
          <w:lang w:val="en-US" w:eastAsia="zh-CN"/>
        </w:rPr>
        <w:t>经研究，我局</w:t>
      </w:r>
      <w:r>
        <w:rPr>
          <w:rFonts w:hint="eastAsia" w:ascii="仿宋" w:hAnsi="仿宋" w:eastAsia="仿宋" w:cs="仿宋"/>
          <w:sz w:val="32"/>
          <w:szCs w:val="32"/>
          <w:u w:val="none" w:color="auto"/>
        </w:rPr>
        <w:t>批复如下：</w:t>
      </w:r>
    </w:p>
    <w:p w14:paraId="73C07BE1">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湖南蓬源鸿达矿业有限公司穰家垅萤石矿采选工程位于衡东县甘溪镇新东村，项目采矿许可证规模为萤石矿6万吨/年,环评批复萤石精粉生产规模为1.25万吨/年。2023年湖南省第二轮生态环境保护督察反馈公司存在超规模开采和超产能生产等问题。依据《湖南蓬源鸿达矿业有限公司信访问题整改方案》要求，项目萤石矿资源开发利用方案已经取得湖南省自然资源事务中心的评审意见书，同意该矿的拟建设规模提升由原来的6万吨/年提升为30万吨/年。公司委托湖南</w:t>
      </w:r>
      <w:r>
        <w:rPr>
          <w:rFonts w:hint="eastAsia" w:ascii="仿宋" w:hAnsi="仿宋" w:eastAsia="仿宋" w:cs="仿宋"/>
          <w:sz w:val="32"/>
          <w:szCs w:val="32"/>
          <w:u w:val="none" w:color="auto"/>
          <w:lang w:eastAsia="zh-CN"/>
        </w:rPr>
        <w:t>润之源环保科技有限责任公司</w:t>
      </w:r>
      <w:r>
        <w:rPr>
          <w:rFonts w:hint="eastAsia" w:ascii="仿宋" w:hAnsi="仿宋" w:eastAsia="仿宋" w:cs="仿宋"/>
          <w:sz w:val="32"/>
          <w:szCs w:val="32"/>
          <w:u w:val="none" w:color="auto"/>
          <w:lang w:val="en-US" w:eastAsia="zh-CN"/>
        </w:rPr>
        <w:t>编制了环境影响报告书报批。项目属于补办环评手续，建设规模为</w:t>
      </w:r>
      <w:r>
        <w:rPr>
          <w:rFonts w:hint="eastAsia" w:ascii="仿宋" w:hAnsi="仿宋" w:eastAsia="仿宋" w:cs="仿宋"/>
          <w:sz w:val="32"/>
          <w:szCs w:val="32"/>
          <w:lang w:val="en-US" w:eastAsia="zh-CN"/>
        </w:rPr>
        <w:t>开采萤石原矿30万吨/年，生产萤石精粉60000吨/年，副产品混合硫化物600吨/年。项目依托原有的采矿工程、选矿工程、尾矿库、充填系统、萤石干燥系统及配套环保、公用设施等。实施的整改工程主要包括①燃煤沸腾炉改造为电热风炉②原矿堆场由露天改为半封闭堆场③完善厂区雨污分流系统④现有1000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/d一体化污水处理站新增一级除氟反应池 ⑤新增1座2000M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中水回用处理站。⑥充填搅拌系统改造。项目在认真落实环境影响报告书提出的各项环保措施，确保污染物达标排放和环境风险可控的前提下，从环境保护的角度，我局原则同意项目按照环境影响报告书提出的规模、地点、建设内容和环境保护措施进行建设。</w:t>
      </w:r>
    </w:p>
    <w:p w14:paraId="15A5E9B5">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640" w:lef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二、项目建设必须严格执行配套建设的环境保护设施</w:t>
      </w:r>
    </w:p>
    <w:p w14:paraId="3F3C0DA8">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与主体工程同时设计、同时施工、同时投入使用的“三同时”制度，并着重做好以下工作：</w:t>
      </w:r>
    </w:p>
    <w:p w14:paraId="6AAE975D">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u w:val="none" w:color="auto"/>
        </w:rPr>
        <w:t>加强施工期环境管理，</w:t>
      </w:r>
      <w:r>
        <w:rPr>
          <w:rStyle w:val="5"/>
          <w:rFonts w:hint="eastAsia" w:ascii="仿宋" w:hAnsi="仿宋" w:eastAsia="仿宋" w:cs="仿宋"/>
          <w:sz w:val="32"/>
          <w:szCs w:val="32"/>
          <w:u w:val="none" w:color="auto"/>
        </w:rPr>
        <w:t>全面、及时落实施工期各项环保措施。结合工程周围敏感点的分布，合理优化项目施工布局、施工设备及施工时段，采取有效措施最大限度减少对周</w:t>
      </w:r>
      <w:r>
        <w:rPr>
          <w:rStyle w:val="5"/>
          <w:rFonts w:hint="eastAsia" w:ascii="仿宋" w:hAnsi="仿宋" w:eastAsia="仿宋" w:cs="仿宋"/>
          <w:sz w:val="32"/>
          <w:szCs w:val="32"/>
          <w:u w:val="none" w:color="auto"/>
          <w:lang w:val="en-US" w:eastAsia="zh-CN"/>
        </w:rPr>
        <w:t>边环境和</w:t>
      </w:r>
      <w:r>
        <w:rPr>
          <w:rStyle w:val="5"/>
          <w:rFonts w:hint="eastAsia" w:ascii="仿宋" w:hAnsi="仿宋" w:eastAsia="仿宋" w:cs="仿宋"/>
          <w:sz w:val="32"/>
          <w:szCs w:val="32"/>
          <w:u w:val="none" w:color="auto"/>
        </w:rPr>
        <w:t>居民正常生产生活的不利影响。</w:t>
      </w:r>
    </w:p>
    <w:p w14:paraId="539A126D">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废气污染防治。井下采矿采用湿式凿岩、水封爆破，并对产尘点及通道加强洒水喷雾。矿石堆场、尾砂堆场及尾矿库采取洒水降尘、设置围挡等措施减少扬尘。萤石精矿烘干废气经布袋除尘器处理后从27米高排气筒（DA001）排放。矿石破碎筛分设备进行密闭，粉尘经收集后由喷淋塔除尘后从15米高排气筒（DA002）排放。矿石输送皮带进行密闭，皮带输送粉尘经收集后送喷淋塔除尘后从15米高排气筒（DA003）排放。萤石精粉储存库粉尘经库顶布袋除尘器处理后外排。包装车间粉尘经布袋除尘器处理后外排。胶凝材料仓粉尘经布袋除尘后从仓顶排气筒（DA004）排放。充填搅拌站进行全封闭，搅拌粉尘经布袋除尘器处理后外排。尾砂、矿石等物料转运装卸区域进行喷雾除尘减少排放。烘干废气中氟化物执行《工业炉窑大气污染物排放标准》（GB9078-1996），其他指标参照执行《关于印发&lt;湖南省工业炉窑大气污染治理实施方案&gt;的通知》（湘环发【2020】6号）要求。胶凝材料仓粉尘、充填搅拌站粉尘执行《水泥工业大气污染物排放标准》（GB4915-2013）。其他工序废气排放执行《大气污染物综合排放标准》（GB16297-1996）。</w:t>
      </w:r>
    </w:p>
    <w:p w14:paraId="67793D24">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3、加强废水污染防治。采用雨污分流、污污分流的排水体制。分区完善工业广场、选矿区、尾矿库雨水收集和撇洪系统，其中工业广场东侧新建220M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初期雨水池，配套新增雨水切换阀，后期雨水经尾矿库北侧护坡撇洪沟排放。采矿区内产生的矿井涌水、充填膏体泌水等经收集后泵至高位水池回用于选矿。选矿区破碎车间除尘喷淋废水经循环池沉淀后回用于除尘。尾砂干排系统浓缩压滤液经收集池收集后输送至高位水池进行回用于选矿。脱硫浮选车间设置车间废水处理站对硫化混合物浓缩池溢流废水及过滤尾水进行絮凝沉淀处理后回用于脱硫浮选工艺。新建2000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中水回用处理站，采用“絮凝沉淀+除氟反应池+过滤吸附—尾水澄清+PH回调”工艺。萤石精矿浓缩池溢流水和过滤水、滤布清洗水、车间冲洗废水、选矿区初期雨水、地面冲洗水经收集后输送至中水回用处理站处理后回用于选矿。尾矿库渗滤液依托1000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 xml:space="preserve">/d废水一体化处理系统进行处理，新增一级除氟反应池，采用“絮凝沉淀+除氟反应池+过滤吸附—尾水澄清+PH回调”工艺处理达标后部分回用，剩余部分排入穰家垅小溪，最终流入洣水。废水总排口氟化物排放浓度≤5mg/L,其余指标执行《污水综合排放标准》（GBGB8978-1996）一级标准。  </w:t>
      </w:r>
    </w:p>
    <w:p w14:paraId="29245C32">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固体废物污染防治。严格按照《一般工业固体废物贮存和填埋污染控制标准》(GB18599-2020)、《危险废物贮存污染控制标准》(GB18597-2023)等最新规定对固体废物分类收集、分类贮存、分类处置。废石厂区综合利用或外售。尾砂用于充填或外售，不再向尾矿库排放。废水处理污泥经压滤后外售或者用于充填。布袋除尘器收尘回用于生产或作为产品外售。废矿物油、废油桶、废含油抹布及手套、在线监测废液等危废设置20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危废暂存间暂存并定期交有资质单位处置。</w:t>
      </w:r>
    </w:p>
    <w:p w14:paraId="1B1816BC">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加强土壤和地下水污染防治。按照“源头控制、末端防治、污染监控、应急响应”相结合原则落实防治措施。加强管道、设备维护，防范跑冒滴漏，管线敷设尽量可视化。做好分区防渗，废水收集池、污水处理站、事故池、选矿车间、球磨车间、危废间等实行重点防渗；矿石堆场、废石堆场、尾矿库、烘干车间等实行一般防渗。设立地下水和土壤监测点，按要求定期开展监测。</w:t>
      </w:r>
    </w:p>
    <w:p w14:paraId="386ECB12">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6、加强噪声污染防治。采取选用低噪声设备、设备基础减振、厂房隔声降噪和建设绿化隔离带等措施确保厂界噪声达到《工业企业厂界环境噪声排放标准》（GB12348-2008）2类标淮。</w:t>
      </w:r>
    </w:p>
    <w:p w14:paraId="3D322D62">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7、加强生态保护措施。完善截洪沟并定期清理，加强矿区植树绿化，充填加固采空区，回填治理塌陷区，规范管理尾矿库，严格落实矿山生态修复方案和土地复垦方案，持续推进绿色矿山建设。</w:t>
      </w:r>
    </w:p>
    <w:p w14:paraId="13A8FBD6">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8、规范设置排污口、各类环保标志。严格按求开展污</w:t>
      </w:r>
    </w:p>
    <w:p w14:paraId="2C7AD74E">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染源自行监测和周边环境质量监测。其中脱硫车间废水处理站排口设置铅、锌在线监测设备；废水总排口设置化学需氧量、氨氮在线监测设备。</w:t>
      </w:r>
    </w:p>
    <w:p w14:paraId="67E77427">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9、健全环保安全管理制度。加强危险化学品管理，加强环保设施日常运行、检修等各时段的安全隐患排查和风险管控措施，及时修订突发环境事件应急预案并加强演练，有效防范环境风险。</w:t>
      </w:r>
    </w:p>
    <w:p w14:paraId="2F9A1924">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环境影响报告书经批准后，该项目的性质、规模、地点、生产工艺或者防治污染设施、防止生态破坏的措施发生重大变动的，须重新报批环境影响报告书。项目须按照《排污许可管理条例》规定及时重新申领排污许可证，并按照《建设项目竣工环境保护验收暂行办法》的规定做好环境保护竣工验收工作。日常环境监督管理工作由衡东县生态环境保护综合行政执法大队负责。</w:t>
      </w:r>
    </w:p>
    <w:p w14:paraId="4A6CCEA6">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112D8AF4">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衡阳市生态环境局 </w:t>
      </w:r>
    </w:p>
    <w:p w14:paraId="0A90E080">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2025年3月6日</w:t>
      </w:r>
    </w:p>
    <w:p w14:paraId="1F846E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1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易恒-正文"/>
    <w:basedOn w:val="1"/>
    <w:qFormat/>
    <w:uiPriority w:val="0"/>
    <w:pPr>
      <w:spacing w:line="360" w:lineRule="auto"/>
      <w:ind w:firstLine="200" w:firstLineChars="200"/>
    </w:pPr>
    <w:rPr>
      <w:rFonts w:ascii="Times New Roman" w:hAnsi="Times New Roman" w:eastAsia="宋体"/>
      <w:sz w:val="24"/>
    </w:rPr>
  </w:style>
  <w:style w:type="character" w:customStyle="1" w:styleId="5">
    <w:name w:val="content1"/>
    <w:basedOn w:val="3"/>
    <w:qFormat/>
    <w:uiPriority w:val="0"/>
    <w:rPr>
      <w:color w:val="00000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2025-03-06T08:44:39Z</dcterms:created>
  <dc:creator>Administrator</dc:creator>
  <cp:lastModifiedBy>Administrator</cp:lastModifiedBy>
  <dcterms:modified xsi:type="dcterms:W3CDTF">2025-03-06T08:44:52Z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eyJoZGlkIjoiZWY2ZDgzZGQzZjI0ZmY3YjkzZjI0MTNlMjQ3NzU3ZDIifQ==</vt:lpwstr>
  </property>
  <property fmtid="{D5CDD505-2E9C-101B-9397-08002B2CF9AE}" pid="4" name="ICV">
    <vt:lpwstr>564C7057C71348F59C8FBCDFF6945571_12</vt:lpwstr>
  </property>
</Properties>
</file>