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（一）部门主要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贯彻执行国家有关法律、法规和政策规定，办理国内和涉外（含港、澳、台）公证事项，为公民、法人提供公证法律服务；办理公证事项；解答法律咨询，息讼止争，维护社会和谐稳定。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人员编制情况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公证处共有编制人数5人，2022年底人员在职人数3人。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二、预算支出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及绩效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年年初预算安排收入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86.12</w:t>
      </w:r>
      <w:r>
        <w:rPr>
          <w:rFonts w:hint="eastAsia" w:ascii="仿宋" w:hAnsi="仿宋" w:eastAsia="仿宋" w:cs="仿宋"/>
          <w:sz w:val="32"/>
          <w:szCs w:val="32"/>
        </w:rPr>
        <w:t>万元，其中一般公共政拨款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86.12</w:t>
      </w:r>
      <w:r>
        <w:rPr>
          <w:rFonts w:hint="eastAsia" w:ascii="仿宋" w:hAnsi="仿宋" w:eastAsia="仿宋" w:cs="仿宋"/>
          <w:sz w:val="32"/>
          <w:szCs w:val="32"/>
        </w:rPr>
        <w:t>万元；20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年年初预算安排支出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决算情况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含年中预算追加情况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年决算总收入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</w:t>
      </w:r>
      <w:r>
        <w:rPr>
          <w:rFonts w:hint="eastAsia" w:ascii="仿宋" w:hAnsi="仿宋" w:eastAsia="仿宋" w:cs="仿宋"/>
          <w:sz w:val="32"/>
          <w:szCs w:val="32"/>
        </w:rPr>
        <w:t>万元，较预算增加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</w:t>
      </w:r>
      <w:r>
        <w:rPr>
          <w:rFonts w:hint="eastAsia" w:ascii="仿宋" w:hAnsi="仿宋" w:eastAsia="仿宋" w:cs="仿宋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％；项目支出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“三公"经费执行情况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“三公"经费预算数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万元，其中：因公出国（境）费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万元，公务用车购置及运行维护费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万元。“三公"经费决算数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元，其中：因公出国（境）费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年度政府采购支出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万元，其中：货物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元，工程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年年末资产总额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7.76</w:t>
      </w:r>
      <w:r>
        <w:rPr>
          <w:rFonts w:hint="eastAsia" w:ascii="仿宋" w:hAnsi="仿宋" w:eastAsia="仿宋" w:cs="仿宋"/>
          <w:sz w:val="32"/>
          <w:szCs w:val="32"/>
        </w:rPr>
        <w:t>万元，负债总额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7.76</w:t>
      </w:r>
      <w:r>
        <w:rPr>
          <w:rFonts w:hint="eastAsia" w:ascii="仿宋" w:hAnsi="仿宋" w:eastAsia="仿宋" w:cs="仿宋"/>
          <w:sz w:val="32"/>
          <w:szCs w:val="32"/>
        </w:rPr>
        <w:t>万元。截至202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年12月31日，固定资产账面原值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20.26</w:t>
      </w:r>
      <w:r>
        <w:rPr>
          <w:rFonts w:hint="eastAsia" w:ascii="仿宋" w:hAnsi="仿宋" w:eastAsia="仿宋" w:cs="仿宋"/>
          <w:sz w:val="32"/>
          <w:szCs w:val="32"/>
        </w:rPr>
        <w:t>万元，在用资产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20.26</w:t>
      </w:r>
      <w:r>
        <w:rPr>
          <w:rFonts w:hint="eastAsia" w:ascii="仿宋" w:hAnsi="仿宋" w:eastAsia="仿宋" w:cs="仿宋"/>
          <w:sz w:val="32"/>
          <w:szCs w:val="32"/>
        </w:rPr>
        <w:t>万元，资产使用率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（二）资金使用及绩效情况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整体绩效目标完成情况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2022年全年预算数42.4万元，全年执行数42.4万元，其中当年财政拨款42.4万元，上年结转资金0万元，执行率100%。绩效指标基本完成，其中产出指标完成率100%，效益指标完成率97%，满意度指标完成率100%。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项目绩效目标完成情况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仅对50万元以上的项目资金进行分项说明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衡东县公证处无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50万以上的项目。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存在的问题及改进措施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2022年度公证案件受理量较2021年大幅下降。主要原因在于受疫情和市场影响，房产交易量大幅减少，导致购房委托公证案件量同比下降。改进措施：拓展业务范围，增加更多种类的公证业务。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湖南省衡东县公证处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50740"/>
    <w:multiLevelType w:val="singleLevel"/>
    <w:tmpl w:val="8F3507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717E75"/>
    <w:multiLevelType w:val="singleLevel"/>
    <w:tmpl w:val="EC717E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YwYmYyYjJmMDZhZTA5MjY5NTc2ZGNiNDg4MDAifQ=="/>
  </w:docVars>
  <w:rsids>
    <w:rsidRoot w:val="1B1C09B2"/>
    <w:rsid w:val="121C60CC"/>
    <w:rsid w:val="1B1C09B2"/>
    <w:rsid w:val="30F0369B"/>
    <w:rsid w:val="459C6CDB"/>
    <w:rsid w:val="4E141D71"/>
    <w:rsid w:val="6B3E1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2024-04-03T02:51:00Z</dcterms:created>
  <dc:creator>Administrator</dc:creator>
  <cp:lastModifiedBy>Administrator</cp:lastModifiedBy>
  <dcterms:modified xsi:type="dcterms:W3CDTF">2024-04-03T03:11:25Z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BBCFA8DB1C6442FC8E541686E71B6B0C_11</vt:lpwstr>
  </property>
</Properties>
</file>